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F511B5">
      <w:pPr>
        <w:spacing w:line="360" w:lineRule="auto"/>
        <w:jc w:val="both"/>
        <w:rPr>
          <w:rFonts w:ascii="Palatino Linotype" w:hAnsi="Palatino Linotype" w:cs="Arial"/>
        </w:rPr>
      </w:pPr>
      <w:r w:rsidRPr="005323E4">
        <w:rPr>
          <w:rFonts w:ascii="Palatino Linotype" w:hAnsi="Palatino Linotype" w:cs="Arial"/>
          <w:b/>
        </w:rPr>
        <w:t xml:space="preserve">VOTO </w:t>
      </w:r>
      <w:r>
        <w:rPr>
          <w:rFonts w:ascii="Palatino Linotype" w:hAnsi="Palatino Linotype" w:cs="Arial"/>
          <w:b/>
        </w:rPr>
        <w:t>DISIDENTE</w:t>
      </w:r>
      <w:r w:rsidRPr="005323E4">
        <w:rPr>
          <w:rFonts w:ascii="Palatino Linotype" w:hAnsi="Palatino Linotype" w:cs="Arial"/>
          <w:b/>
        </w:rPr>
        <w:t xml:space="preserve"> DEL COMISIONADO JOSÉ GUADALUPE LUNA HERNÁNDEZ EN EL RECURSO DE REVISIÓN 02</w:t>
      </w:r>
      <w:r w:rsidR="00E07945">
        <w:rPr>
          <w:rFonts w:ascii="Palatino Linotype" w:hAnsi="Palatino Linotype" w:cs="Arial"/>
          <w:b/>
        </w:rPr>
        <w:t>872</w:t>
      </w:r>
      <w:r w:rsidRPr="005323E4">
        <w:rPr>
          <w:rFonts w:ascii="Palatino Linotype" w:hAnsi="Palatino Linotype" w:cs="Arial"/>
          <w:b/>
        </w:rPr>
        <w:t>/INFOEM/IP/RR/2018.</w:t>
      </w:r>
    </w:p>
    <w:p w:rsidR="00F436A4" w:rsidRPr="004F719D" w:rsidRDefault="00F436A4" w:rsidP="00F511B5">
      <w:pPr>
        <w:spacing w:line="360" w:lineRule="auto"/>
        <w:jc w:val="both"/>
        <w:rPr>
          <w:rFonts w:ascii="Palatino Linotype" w:hAnsi="Palatino Linotype" w:cs="Arial"/>
          <w:b/>
          <w:i/>
        </w:rPr>
      </w:pPr>
    </w:p>
    <w:p w:rsidR="00F436A4" w:rsidRDefault="003503B0" w:rsidP="00F511B5">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F511B5">
      <w:pPr>
        <w:spacing w:line="360" w:lineRule="auto"/>
        <w:jc w:val="both"/>
        <w:rPr>
          <w:rFonts w:ascii="Palatino Linotype" w:hAnsi="Palatino Linotype" w:cs="Arial"/>
          <w:b/>
          <w:bdr w:val="none" w:sz="0" w:space="0" w:color="auto"/>
        </w:rPr>
      </w:pPr>
    </w:p>
    <w:p w:rsidR="00CC0EC5" w:rsidRDefault="00CC0EC5" w:rsidP="00F511B5">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CC0EC5" w:rsidRDefault="00CC0EC5" w:rsidP="00F511B5">
      <w:pPr>
        <w:spacing w:line="360" w:lineRule="auto"/>
        <w:jc w:val="both"/>
        <w:rPr>
          <w:rFonts w:ascii="Palatino Linotype" w:hAnsi="Palatino Linotype" w:cs="Arial"/>
        </w:rPr>
      </w:pPr>
    </w:p>
    <w:p w:rsidR="00CC0EC5" w:rsidRDefault="00CC0EC5" w:rsidP="00F511B5">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CC0EC5" w:rsidRPr="009A406D" w:rsidRDefault="00CC0EC5" w:rsidP="00F511B5">
      <w:pPr>
        <w:spacing w:line="360" w:lineRule="auto"/>
        <w:jc w:val="both"/>
        <w:rPr>
          <w:rFonts w:ascii="Palatino Linotype" w:hAnsi="Palatino Linotype" w:cs="Arial"/>
        </w:rPr>
      </w:pPr>
    </w:p>
    <w:p w:rsidR="00F436A4" w:rsidRDefault="00CC0EC5" w:rsidP="00F511B5">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CC0EC5" w:rsidRPr="00CC0EC5" w:rsidRDefault="00CC0EC5" w:rsidP="00F511B5">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511B5">
          <w:pPr>
            <w:spacing w:line="360" w:lineRule="auto"/>
            <w:rPr>
              <w:rFonts w:ascii="Palatino Linotype" w:hAnsi="Palatino Linotype"/>
              <w:color w:val="2E74B5" w:themeColor="accent1" w:themeShade="BF"/>
              <w:lang w:val="es-ES"/>
            </w:rPr>
          </w:pPr>
        </w:p>
        <w:p w:rsidR="00F436A4" w:rsidRPr="004F719D" w:rsidRDefault="00075028" w:rsidP="00F511B5">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t>ÍNDICE</w:t>
          </w:r>
        </w:p>
        <w:p w:rsidR="00F436A4" w:rsidRPr="004F719D" w:rsidRDefault="00F436A4" w:rsidP="00F511B5">
          <w:pPr>
            <w:spacing w:line="360" w:lineRule="auto"/>
            <w:rPr>
              <w:rFonts w:ascii="Palatino Linotype" w:hAnsi="Palatino Linotype"/>
              <w:b/>
              <w:lang w:val="es-ES" w:eastAsia="es-MX"/>
            </w:rPr>
          </w:pPr>
        </w:p>
        <w:p w:rsidR="00075028" w:rsidRPr="00075028" w:rsidRDefault="00B82DF9" w:rsidP="00F511B5">
          <w:pPr>
            <w:pStyle w:val="TDC1"/>
            <w:rPr>
              <w:rFonts w:asciiTheme="minorHAnsi" w:eastAsiaTheme="minorEastAsia" w:hAnsiTheme="minorHAnsi" w:cstheme="minorBidi"/>
              <w:b/>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25561035" w:history="1">
            <w:r w:rsidR="00075028" w:rsidRPr="00075028">
              <w:rPr>
                <w:rStyle w:val="Hipervnculo"/>
                <w:rFonts w:eastAsiaTheme="majorEastAsia" w:cstheme="majorBidi"/>
                <w:b/>
                <w:noProof/>
              </w:rPr>
              <w:t>I. Consideraciones Generales</w:t>
            </w:r>
            <w:r w:rsidR="00075028" w:rsidRPr="00075028">
              <w:rPr>
                <w:b/>
                <w:noProof/>
                <w:webHidden/>
              </w:rPr>
              <w:tab/>
            </w:r>
            <w:r w:rsidR="00075028" w:rsidRPr="00075028">
              <w:rPr>
                <w:b/>
                <w:noProof/>
                <w:webHidden/>
              </w:rPr>
              <w:fldChar w:fldCharType="begin"/>
            </w:r>
            <w:r w:rsidR="00075028" w:rsidRPr="00075028">
              <w:rPr>
                <w:b/>
                <w:noProof/>
                <w:webHidden/>
              </w:rPr>
              <w:instrText xml:space="preserve"> PAGEREF _Toc525561035 \h </w:instrText>
            </w:r>
            <w:r w:rsidR="00075028" w:rsidRPr="00075028">
              <w:rPr>
                <w:b/>
                <w:noProof/>
                <w:webHidden/>
              </w:rPr>
            </w:r>
            <w:r w:rsidR="00075028" w:rsidRPr="00075028">
              <w:rPr>
                <w:b/>
                <w:noProof/>
                <w:webHidden/>
              </w:rPr>
              <w:fldChar w:fldCharType="separate"/>
            </w:r>
            <w:r w:rsidR="0044164A">
              <w:rPr>
                <w:b/>
                <w:noProof/>
                <w:webHidden/>
              </w:rPr>
              <w:t>3</w:t>
            </w:r>
            <w:r w:rsidR="00075028" w:rsidRPr="00075028">
              <w:rPr>
                <w:b/>
                <w:noProof/>
                <w:webHidden/>
              </w:rPr>
              <w:fldChar w:fldCharType="end"/>
            </w:r>
          </w:hyperlink>
        </w:p>
        <w:p w:rsidR="00075028" w:rsidRPr="00075028" w:rsidRDefault="003C0481" w:rsidP="00F511B5">
          <w:pPr>
            <w:pStyle w:val="TDC1"/>
            <w:rPr>
              <w:rFonts w:asciiTheme="minorHAnsi" w:eastAsiaTheme="minorEastAsia" w:hAnsiTheme="minorHAnsi" w:cstheme="minorBidi"/>
              <w:b/>
              <w:noProof/>
              <w:sz w:val="22"/>
              <w:szCs w:val="22"/>
              <w:bdr w:val="none" w:sz="0" w:space="0" w:color="auto"/>
              <w:lang w:eastAsia="es-MX"/>
            </w:rPr>
          </w:pPr>
          <w:hyperlink w:anchor="_Toc525561036" w:history="1">
            <w:r w:rsidR="00075028" w:rsidRPr="00075028">
              <w:rPr>
                <w:rStyle w:val="Hipervnculo"/>
                <w:b/>
                <w:noProof/>
              </w:rPr>
              <w:t>II.</w:t>
            </w:r>
            <w:r w:rsidR="00075028" w:rsidRPr="00075028">
              <w:rPr>
                <w:rFonts w:asciiTheme="minorHAnsi" w:eastAsiaTheme="minorEastAsia" w:hAnsiTheme="minorHAnsi" w:cstheme="minorBidi"/>
                <w:b/>
                <w:noProof/>
                <w:sz w:val="22"/>
                <w:szCs w:val="22"/>
                <w:bdr w:val="none" w:sz="0" w:space="0" w:color="auto"/>
                <w:lang w:eastAsia="es-MX"/>
              </w:rPr>
              <w:tab/>
            </w:r>
            <w:r w:rsidR="00075028" w:rsidRPr="00075028">
              <w:rPr>
                <w:rStyle w:val="Hipervnculo"/>
                <w:b/>
                <w:noProof/>
              </w:rPr>
              <w:t>De los requerimientos planteados en el recurso de revisión.</w:t>
            </w:r>
            <w:r w:rsidR="00075028" w:rsidRPr="00075028">
              <w:rPr>
                <w:b/>
                <w:noProof/>
                <w:webHidden/>
              </w:rPr>
              <w:tab/>
            </w:r>
            <w:r w:rsidR="00075028" w:rsidRPr="00075028">
              <w:rPr>
                <w:b/>
                <w:noProof/>
                <w:webHidden/>
              </w:rPr>
              <w:fldChar w:fldCharType="begin"/>
            </w:r>
            <w:r w:rsidR="00075028" w:rsidRPr="00075028">
              <w:rPr>
                <w:b/>
                <w:noProof/>
                <w:webHidden/>
              </w:rPr>
              <w:instrText xml:space="preserve"> PAGEREF _Toc525561036 \h </w:instrText>
            </w:r>
            <w:r w:rsidR="00075028" w:rsidRPr="00075028">
              <w:rPr>
                <w:b/>
                <w:noProof/>
                <w:webHidden/>
              </w:rPr>
            </w:r>
            <w:r w:rsidR="00075028" w:rsidRPr="00075028">
              <w:rPr>
                <w:b/>
                <w:noProof/>
                <w:webHidden/>
              </w:rPr>
              <w:fldChar w:fldCharType="separate"/>
            </w:r>
            <w:r w:rsidR="0044164A">
              <w:rPr>
                <w:b/>
                <w:noProof/>
                <w:webHidden/>
              </w:rPr>
              <w:t>4</w:t>
            </w:r>
            <w:r w:rsidR="00075028" w:rsidRPr="00075028">
              <w:rPr>
                <w:b/>
                <w:noProof/>
                <w:webHidden/>
              </w:rPr>
              <w:fldChar w:fldCharType="end"/>
            </w:r>
          </w:hyperlink>
        </w:p>
        <w:p w:rsidR="00075028" w:rsidRPr="00075028" w:rsidRDefault="003C0481" w:rsidP="00F511B5">
          <w:pPr>
            <w:pStyle w:val="TDC1"/>
            <w:rPr>
              <w:rFonts w:asciiTheme="minorHAnsi" w:eastAsiaTheme="minorEastAsia" w:hAnsiTheme="minorHAnsi" w:cstheme="minorBidi"/>
              <w:b/>
              <w:noProof/>
              <w:sz w:val="22"/>
              <w:szCs w:val="22"/>
              <w:bdr w:val="none" w:sz="0" w:space="0" w:color="auto"/>
              <w:lang w:eastAsia="es-MX"/>
            </w:rPr>
          </w:pPr>
          <w:hyperlink w:anchor="_Toc525561037" w:history="1">
            <w:r w:rsidR="00075028" w:rsidRPr="00075028">
              <w:rPr>
                <w:rStyle w:val="Hipervnculo"/>
                <w:b/>
                <w:noProof/>
              </w:rPr>
              <w:t>III.</w:t>
            </w:r>
            <w:r w:rsidR="00075028" w:rsidRPr="00075028">
              <w:rPr>
                <w:rFonts w:asciiTheme="minorHAnsi" w:eastAsiaTheme="minorEastAsia" w:hAnsiTheme="minorHAnsi" w:cstheme="minorBidi"/>
                <w:b/>
                <w:noProof/>
                <w:sz w:val="22"/>
                <w:szCs w:val="22"/>
                <w:bdr w:val="none" w:sz="0" w:space="0" w:color="auto"/>
                <w:lang w:eastAsia="es-MX"/>
              </w:rPr>
              <w:tab/>
            </w:r>
            <w:r w:rsidR="00075028" w:rsidRPr="00075028">
              <w:rPr>
                <w:rStyle w:val="Hipervnculo"/>
                <w:b/>
                <w:noProof/>
              </w:rPr>
              <w:t>De la respuesta del Sujeto Obligado.</w:t>
            </w:r>
            <w:r w:rsidR="00075028" w:rsidRPr="00075028">
              <w:rPr>
                <w:b/>
                <w:noProof/>
                <w:webHidden/>
              </w:rPr>
              <w:tab/>
            </w:r>
            <w:r w:rsidR="00075028" w:rsidRPr="00075028">
              <w:rPr>
                <w:b/>
                <w:noProof/>
                <w:webHidden/>
              </w:rPr>
              <w:fldChar w:fldCharType="begin"/>
            </w:r>
            <w:r w:rsidR="00075028" w:rsidRPr="00075028">
              <w:rPr>
                <w:b/>
                <w:noProof/>
                <w:webHidden/>
              </w:rPr>
              <w:instrText xml:space="preserve"> PAGEREF _Toc525561037 \h </w:instrText>
            </w:r>
            <w:r w:rsidR="00075028" w:rsidRPr="00075028">
              <w:rPr>
                <w:b/>
                <w:noProof/>
                <w:webHidden/>
              </w:rPr>
            </w:r>
            <w:r w:rsidR="00075028" w:rsidRPr="00075028">
              <w:rPr>
                <w:b/>
                <w:noProof/>
                <w:webHidden/>
              </w:rPr>
              <w:fldChar w:fldCharType="separate"/>
            </w:r>
            <w:r w:rsidR="0044164A">
              <w:rPr>
                <w:b/>
                <w:noProof/>
                <w:webHidden/>
              </w:rPr>
              <w:t>8</w:t>
            </w:r>
            <w:r w:rsidR="00075028" w:rsidRPr="00075028">
              <w:rPr>
                <w:b/>
                <w:noProof/>
                <w:webHidden/>
              </w:rPr>
              <w:fldChar w:fldCharType="end"/>
            </w:r>
          </w:hyperlink>
        </w:p>
        <w:p w:rsidR="00A3395D" w:rsidRPr="004F719D" w:rsidRDefault="0044164A" w:rsidP="00F511B5">
          <w:pPr>
            <w:spacing w:line="360" w:lineRule="auto"/>
            <w:rPr>
              <w:rFonts w:ascii="Palatino Linotype" w:hAnsi="Palatino Linotype"/>
              <w:b/>
              <w:bCs/>
              <w:color w:val="000000" w:themeColor="text1"/>
            </w:rPr>
          </w:pPr>
          <w:r>
            <w:rPr>
              <w:rFonts w:ascii="Palatino Linotype" w:hAnsi="Palatino Linotype"/>
              <w:b/>
              <w:bCs/>
              <w:noProof/>
              <w:color w:val="000000" w:themeColor="text1"/>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194310</wp:posOffset>
                    </wp:positionV>
                    <wp:extent cx="5534025" cy="434340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534025" cy="434340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B028F"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5.3pt" to="448.2pt,3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" strokecolor="#5b9bd5 [3204]" strokeweight="3pt">
                    <v:stroke joinstyle="miter"/>
                  </v:line>
                </w:pict>
              </mc:Fallback>
            </mc:AlternateContent>
          </w:r>
          <w:r w:rsidR="00B82DF9" w:rsidRPr="00075028">
            <w:rPr>
              <w:rFonts w:ascii="Palatino Linotype" w:hAnsi="Palatino Linotype"/>
              <w:b/>
              <w:bCs/>
              <w:color w:val="000000" w:themeColor="text1"/>
            </w:rPr>
            <w:fldChar w:fldCharType="end"/>
          </w:r>
        </w:p>
      </w:sdtContent>
    </w:sdt>
    <w:p w:rsidR="000D714D" w:rsidRPr="004F719D" w:rsidRDefault="000D714D" w:rsidP="00F511B5">
      <w:pPr>
        <w:spacing w:line="360" w:lineRule="auto"/>
        <w:rPr>
          <w:rFonts w:ascii="Palatino Linotype" w:hAnsi="Palatino Linotype"/>
          <w:b/>
          <w:bCs/>
          <w:color w:val="000000" w:themeColor="text1"/>
        </w:rPr>
      </w:pPr>
    </w:p>
    <w:p w:rsidR="000D714D" w:rsidRPr="004F719D" w:rsidRDefault="000D714D" w:rsidP="00F511B5">
      <w:pPr>
        <w:spacing w:line="360" w:lineRule="auto"/>
        <w:rPr>
          <w:rFonts w:ascii="Palatino Linotype" w:hAnsi="Palatino Linotype"/>
          <w:b/>
          <w:bCs/>
          <w:color w:val="000000" w:themeColor="text1"/>
        </w:rPr>
      </w:pPr>
    </w:p>
    <w:p w:rsidR="000D714D" w:rsidRPr="004F719D" w:rsidRDefault="000D714D" w:rsidP="00F511B5">
      <w:pPr>
        <w:spacing w:line="360" w:lineRule="auto"/>
        <w:rPr>
          <w:rFonts w:ascii="Palatino Linotype" w:hAnsi="Palatino Linotype"/>
          <w:b/>
          <w:bCs/>
          <w:color w:val="000000" w:themeColor="text1"/>
        </w:rPr>
      </w:pPr>
    </w:p>
    <w:p w:rsidR="000D714D" w:rsidRPr="004F719D" w:rsidRDefault="000D714D" w:rsidP="00F511B5">
      <w:pPr>
        <w:spacing w:line="360" w:lineRule="auto"/>
        <w:rPr>
          <w:rFonts w:ascii="Palatino Linotype" w:hAnsi="Palatino Linotype"/>
          <w:b/>
          <w:bCs/>
          <w:color w:val="000000" w:themeColor="text1"/>
        </w:rPr>
      </w:pPr>
    </w:p>
    <w:p w:rsidR="000D714D" w:rsidRPr="004F719D" w:rsidRDefault="000D714D" w:rsidP="00F511B5">
      <w:pPr>
        <w:spacing w:line="360" w:lineRule="auto"/>
        <w:rPr>
          <w:rFonts w:ascii="Palatino Linotype" w:hAnsi="Palatino Linotype"/>
          <w:b/>
          <w:bCs/>
          <w:color w:val="000000" w:themeColor="text1"/>
        </w:rPr>
      </w:pPr>
    </w:p>
    <w:p w:rsidR="000D714D" w:rsidRPr="004F719D" w:rsidRDefault="000D714D" w:rsidP="00F511B5">
      <w:pPr>
        <w:spacing w:line="360" w:lineRule="auto"/>
        <w:rPr>
          <w:rFonts w:ascii="Palatino Linotype" w:hAnsi="Palatino Linotype"/>
          <w:b/>
          <w:bCs/>
          <w:color w:val="000000" w:themeColor="text1"/>
        </w:rPr>
      </w:pPr>
    </w:p>
    <w:p w:rsidR="000D714D" w:rsidRPr="004F719D" w:rsidRDefault="000D714D" w:rsidP="00F511B5">
      <w:pPr>
        <w:spacing w:line="360" w:lineRule="auto"/>
        <w:rPr>
          <w:rFonts w:ascii="Palatino Linotype" w:hAnsi="Palatino Linotype"/>
          <w:b/>
          <w:bCs/>
          <w:color w:val="000000" w:themeColor="text1"/>
        </w:rPr>
      </w:pPr>
    </w:p>
    <w:p w:rsidR="000D714D" w:rsidRPr="004F719D" w:rsidRDefault="000D714D" w:rsidP="00F511B5">
      <w:pPr>
        <w:spacing w:line="360" w:lineRule="auto"/>
        <w:rPr>
          <w:rFonts w:ascii="Palatino Linotype" w:hAnsi="Palatino Linotype"/>
          <w:b/>
          <w:bCs/>
          <w:color w:val="000000" w:themeColor="text1"/>
        </w:rPr>
      </w:pPr>
    </w:p>
    <w:p w:rsidR="006E2911" w:rsidRPr="004F719D" w:rsidRDefault="006E2911" w:rsidP="00F511B5">
      <w:pPr>
        <w:spacing w:line="360" w:lineRule="auto"/>
        <w:rPr>
          <w:rFonts w:ascii="Palatino Linotype" w:hAnsi="Palatino Linotype"/>
          <w:b/>
          <w:bCs/>
          <w:color w:val="000000" w:themeColor="text1"/>
        </w:rPr>
      </w:pPr>
    </w:p>
    <w:p w:rsidR="006E2911" w:rsidRPr="004F719D" w:rsidRDefault="006E2911" w:rsidP="00F511B5">
      <w:pPr>
        <w:spacing w:line="360" w:lineRule="auto"/>
        <w:rPr>
          <w:rFonts w:ascii="Palatino Linotype" w:hAnsi="Palatino Linotype"/>
          <w:b/>
          <w:bCs/>
          <w:color w:val="000000" w:themeColor="text1"/>
        </w:rPr>
      </w:pPr>
    </w:p>
    <w:p w:rsidR="006E2911" w:rsidRDefault="006E2911" w:rsidP="00F511B5">
      <w:pPr>
        <w:spacing w:line="360" w:lineRule="auto"/>
        <w:rPr>
          <w:rFonts w:ascii="Palatino Linotype" w:hAnsi="Palatino Linotype"/>
          <w:b/>
          <w:bCs/>
          <w:color w:val="000000" w:themeColor="text1"/>
        </w:rPr>
      </w:pPr>
    </w:p>
    <w:p w:rsidR="0044164A" w:rsidRDefault="0044164A" w:rsidP="00F511B5">
      <w:pPr>
        <w:spacing w:line="360" w:lineRule="auto"/>
        <w:rPr>
          <w:rFonts w:ascii="Palatino Linotype" w:hAnsi="Palatino Linotype"/>
          <w:b/>
          <w:bCs/>
          <w:color w:val="000000" w:themeColor="text1"/>
        </w:rPr>
      </w:pPr>
    </w:p>
    <w:p w:rsidR="00075028" w:rsidRPr="004F719D" w:rsidRDefault="00075028" w:rsidP="00F511B5">
      <w:pPr>
        <w:spacing w:line="360" w:lineRule="auto"/>
        <w:rPr>
          <w:rFonts w:ascii="Palatino Linotype" w:hAnsi="Palatino Linotype"/>
          <w:b/>
          <w:bCs/>
          <w:color w:val="000000" w:themeColor="text1"/>
        </w:rPr>
      </w:pPr>
    </w:p>
    <w:p w:rsidR="00A3395D" w:rsidRPr="004F719D"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25561035"/>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924DF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eastAsia="Times New Roman" w:hAnsi="Palatino Linotype" w:cs="Arial"/>
          <w:lang w:val="es-ES_tradnl"/>
        </w:rPr>
        <w:t xml:space="preserve">He concurrido con mi voto </w:t>
      </w:r>
      <w:r w:rsidR="0044164A">
        <w:rPr>
          <w:rFonts w:ascii="Palatino Linotype" w:eastAsia="Times New Roman" w:hAnsi="Palatino Linotype" w:cs="Arial"/>
          <w:lang w:val="es-ES_tradnl"/>
        </w:rPr>
        <w:t xml:space="preserve">disidente </w:t>
      </w:r>
      <w:r w:rsidRPr="00924DF4">
        <w:rPr>
          <w:rFonts w:ascii="Palatino Linotype" w:eastAsia="Times New Roman" w:hAnsi="Palatino Linotype" w:cs="Arial"/>
          <w:lang w:val="es-ES_tradnl"/>
        </w:rPr>
        <w:t xml:space="preserve">de la presente resolución emitida </w:t>
      </w:r>
      <w:r w:rsidRPr="00924DF4">
        <w:rPr>
          <w:rFonts w:ascii="Palatino Linotype" w:hAnsi="Palatino Linotype" w:cs="Arial"/>
        </w:rPr>
        <w:t xml:space="preserve">por el Pleno del Instituto de Transparencia, Acceso a la Información Pública y Protección de Datos Personales del Estado de México y Municipios, en su Trigésima </w:t>
      </w:r>
      <w:r>
        <w:rPr>
          <w:rFonts w:ascii="Palatino Linotype" w:hAnsi="Palatino Linotype" w:cs="Arial"/>
        </w:rPr>
        <w:t>Séptima</w:t>
      </w:r>
      <w:r w:rsidRPr="00924DF4">
        <w:rPr>
          <w:rFonts w:ascii="Palatino Linotype" w:hAnsi="Palatino Linotype" w:cs="Arial"/>
        </w:rPr>
        <w:t xml:space="preserve"> Sesión Ordinaria de </w:t>
      </w:r>
      <w:r w:rsidRPr="006E41B9">
        <w:rPr>
          <w:rFonts w:ascii="Palatino Linotype" w:hAnsi="Palatino Linotype" w:cs="Arial"/>
        </w:rPr>
        <w:t xml:space="preserve">fecha </w:t>
      </w:r>
      <w:proofErr w:type="spellStart"/>
      <w:r w:rsidRPr="006E41B9">
        <w:rPr>
          <w:rFonts w:ascii="Palatino Linotype" w:hAnsi="Palatino Linotype" w:cs="Arial"/>
        </w:rPr>
        <w:t>veintiseis</w:t>
      </w:r>
      <w:proofErr w:type="spellEnd"/>
      <w:r w:rsidRPr="006E41B9">
        <w:rPr>
          <w:rFonts w:ascii="Palatino Linotype" w:hAnsi="Palatino Linotype" w:cs="Arial"/>
        </w:rPr>
        <w:t xml:space="preserve"> (26) de septiembre de dos mil dieciocho, en</w:t>
      </w:r>
      <w:r w:rsidRPr="00924DF4">
        <w:rPr>
          <w:rFonts w:ascii="Palatino Linotype" w:hAnsi="Palatino Linotype" w:cs="Arial"/>
        </w:rPr>
        <w:t xml:space="preserve"> el recurso de revisión promovido por</w:t>
      </w:r>
      <w:r w:rsidRPr="00924DF4">
        <w:rPr>
          <w:rFonts w:ascii="Palatino Linotype" w:hAnsi="Palatino Linotype" w:cs="Arial"/>
          <w:b/>
        </w:rPr>
        <w:t xml:space="preserve"> </w:t>
      </w:r>
      <w:r w:rsidR="00A8678C" w:rsidRPr="00A8678C">
        <w:rPr>
          <w:rFonts w:ascii="Palatino Linotype" w:hAnsi="Palatino Linotype" w:cs="Arial"/>
          <w:b/>
          <w:highlight w:val="black"/>
        </w:rPr>
        <w:t>------------------------------------</w:t>
      </w:r>
      <w:r w:rsidRPr="00924DF4">
        <w:rPr>
          <w:rFonts w:ascii="Palatino Linotype" w:hAnsi="Palatino Linotype" w:cs="Arial"/>
        </w:rPr>
        <w:t>,</w:t>
      </w:r>
      <w:r w:rsidRPr="00924DF4">
        <w:rPr>
          <w:rFonts w:ascii="Palatino Linotype" w:hAnsi="Palatino Linotype" w:cs="Arial"/>
          <w:b/>
        </w:rPr>
        <w:t xml:space="preserve"> </w:t>
      </w:r>
      <w:r w:rsidR="00F511B5">
        <w:rPr>
          <w:rFonts w:ascii="Palatino Linotype" w:hAnsi="Palatino Linotype" w:cs="Arial"/>
        </w:rPr>
        <w:t xml:space="preserve">en contra de las respuesta del </w:t>
      </w:r>
      <w:r>
        <w:rPr>
          <w:rFonts w:ascii="Palatino Linotype" w:eastAsia="Calibri" w:hAnsi="Palatino Linotype"/>
          <w:b/>
          <w:lang w:val="es-ES" w:eastAsia="es-ES"/>
        </w:rPr>
        <w:t>Sistema de Autopistas, Aeropuertos, Servicios Conexos y Auxiliares del Estado de México</w:t>
      </w:r>
      <w:r w:rsidRPr="00924DF4">
        <w:rPr>
          <w:rFonts w:ascii="Palatino Linotype" w:hAnsi="Palatino Linotype" w:cs="Arial"/>
        </w:rPr>
        <w:t xml:space="preserve">, procedimiento al que se le asignó el número de expediente </w:t>
      </w:r>
      <w:r w:rsidRPr="00924DF4">
        <w:rPr>
          <w:rFonts w:ascii="Palatino Linotype" w:eastAsia="Times New Roman" w:hAnsi="Palatino Linotype" w:cs="Arial"/>
          <w:b/>
          <w:bCs/>
          <w:lang w:eastAsia="es-ES"/>
        </w:rPr>
        <w:t>02</w:t>
      </w:r>
      <w:r w:rsidR="00E07945">
        <w:rPr>
          <w:rFonts w:ascii="Palatino Linotype" w:eastAsia="Times New Roman" w:hAnsi="Palatino Linotype" w:cs="Arial"/>
          <w:b/>
          <w:bCs/>
          <w:lang w:eastAsia="es-ES"/>
        </w:rPr>
        <w:t>872</w:t>
      </w:r>
      <w:r w:rsidRPr="00924DF4">
        <w:rPr>
          <w:rFonts w:ascii="Palatino Linotype" w:eastAsia="Times New Roman" w:hAnsi="Palatino Linotype" w:cs="Arial"/>
          <w:b/>
          <w:bCs/>
          <w:lang w:eastAsia="es-ES"/>
        </w:rPr>
        <w:t>/INFOEM/IP/RR/2018.</w:t>
      </w:r>
    </w:p>
    <w:p w:rsidR="003331EE" w:rsidRPr="004F719D" w:rsidRDefault="003331EE"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Pr>
          <w:rFonts w:ascii="Palatino Linotype" w:hAnsi="Palatino Linotype" w:cs="Arial"/>
        </w:rPr>
        <w:t>parcialmente</w:t>
      </w:r>
      <w:r w:rsidRPr="00924DF4">
        <w:rPr>
          <w:rFonts w:ascii="Palatino Linotype" w:hAnsi="Palatino Linotype" w:cs="Arial"/>
        </w:rPr>
        <w:t xml:space="preserve"> fundados los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Pr>
          <w:rFonts w:ascii="Palatino Linotype" w:hAnsi="Palatino Linotype" w:cs="Arial"/>
        </w:rPr>
        <w:t>Quinto</w:t>
      </w:r>
      <w:r w:rsidRPr="00924DF4">
        <w:rPr>
          <w:rFonts w:ascii="Palatino Linotype" w:hAnsi="Palatino Linotype" w:cs="Arial"/>
        </w:rPr>
        <w:t xml:space="preserve"> de la resolución</w:t>
      </w:r>
      <w:r>
        <w:rPr>
          <w:rFonts w:ascii="Palatino Linotype" w:hAnsi="Palatino Linotype" w:cs="Arial"/>
        </w:rPr>
        <w:t>,</w:t>
      </w:r>
      <w:r w:rsidRPr="00924DF4">
        <w:rPr>
          <w:rFonts w:ascii="Palatino Linotype" w:hAnsi="Palatino Linotype" w:cs="Arial"/>
        </w:rPr>
        <w:t xml:space="preserve"> por lo que la ponencia encargada consideró </w:t>
      </w:r>
      <w:r w:rsidRPr="00A6390E">
        <w:rPr>
          <w:rFonts w:ascii="Palatino Linotype" w:hAnsi="Palatino Linotype" w:cs="Arial"/>
          <w:b/>
        </w:rPr>
        <w:t xml:space="preserve">REVOCAR </w:t>
      </w:r>
      <w:r w:rsidRPr="00924DF4">
        <w:rPr>
          <w:rFonts w:ascii="Palatino Linotype" w:hAnsi="Palatino Linotype" w:cs="Arial"/>
        </w:rPr>
        <w:t xml:space="preserve">la respuesta del Sujeto Obligado, sin embargo, mi voto </w:t>
      </w:r>
      <w:r>
        <w:rPr>
          <w:rFonts w:ascii="Palatino Linotype" w:hAnsi="Palatino Linotype" w:cs="Arial"/>
        </w:rPr>
        <w:t>disidente</w:t>
      </w:r>
      <w:r w:rsidRPr="00924DF4">
        <w:rPr>
          <w:rFonts w:ascii="Palatino Linotype" w:hAnsi="Palatino Linotype" w:cs="Arial"/>
        </w:rPr>
        <w:t xml:space="preserve"> se deriva del hecho de que resulta necesario </w:t>
      </w:r>
      <w:r>
        <w:rPr>
          <w:rFonts w:ascii="Palatino Linotype" w:hAnsi="Palatino Linotype" w:cs="Arial"/>
        </w:rPr>
        <w:t xml:space="preserve">señalar </w:t>
      </w:r>
      <w:r w:rsidRPr="00924DF4">
        <w:rPr>
          <w:rFonts w:ascii="Palatino Linotype" w:hAnsi="Palatino Linotype" w:cs="Arial"/>
        </w:rPr>
        <w:t>que para</w:t>
      </w:r>
      <w:r>
        <w:rPr>
          <w:rFonts w:ascii="Palatino Linotype" w:hAnsi="Palatino Linotype" w:cs="Arial"/>
        </w:rPr>
        <w:t xml:space="preserve"> que sea procedente la reserva de información, es indispensable acreditar ciertos requisitos, los cuales se agotan actualizando cuatro tiempos y ratificando la reserva de la misma, mediante la materialización de</w:t>
      </w:r>
      <w:r w:rsidRPr="00AE100A">
        <w:rPr>
          <w:rFonts w:ascii="Palatino Linotype" w:hAnsi="Palatino Linotype" w:cs="Arial"/>
        </w:rPr>
        <w:t xml:space="preserve"> las facultades concedidas al instituto</w:t>
      </w:r>
      <w:r>
        <w:rPr>
          <w:rFonts w:ascii="Palatino Linotype" w:hAnsi="Palatino Linotype" w:cs="Arial"/>
        </w:rPr>
        <w:t>,</w:t>
      </w:r>
      <w:r w:rsidRPr="00AE100A">
        <w:rPr>
          <w:rFonts w:ascii="Palatino Linotype" w:hAnsi="Palatino Linotype" w:cs="Arial"/>
        </w:rPr>
        <w:t xml:space="preserve"> para </w:t>
      </w:r>
      <w:r>
        <w:rPr>
          <w:rFonts w:ascii="Palatino Linotype" w:hAnsi="Palatino Linotype" w:cs="Arial"/>
        </w:rPr>
        <w:t xml:space="preserve">verificar la naturaleza de la información y con ello dar </w:t>
      </w:r>
      <w:r w:rsidRPr="00AE100A">
        <w:rPr>
          <w:rFonts w:ascii="Palatino Linotype" w:hAnsi="Palatino Linotype" w:cs="Arial"/>
        </w:rPr>
        <w:t xml:space="preserve">certeza y firmeza a las resoluciones emitidas. </w:t>
      </w:r>
    </w:p>
    <w:p w:rsidR="00CC0EC5" w:rsidRPr="00CC0EC5" w:rsidRDefault="00CC0EC5" w:rsidP="00F511B5">
      <w:pPr>
        <w:pStyle w:val="Prrafodelista"/>
        <w:spacing w:line="360" w:lineRule="auto"/>
        <w:rPr>
          <w:rFonts w:ascii="Palatino Linotype" w:hAnsi="Palatino Linotype" w:cs="Arial"/>
          <w:color w:val="000000" w:themeColor="text1"/>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lastRenderedPageBreak/>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formulo el presente voto disidente. </w:t>
      </w:r>
    </w:p>
    <w:p w:rsidR="00CC0EC5" w:rsidRPr="00CC0EC5" w:rsidRDefault="00CC0EC5" w:rsidP="00F511B5">
      <w:pPr>
        <w:pStyle w:val="Prrafodelista"/>
        <w:spacing w:line="360" w:lineRule="auto"/>
        <w:rPr>
          <w:rFonts w:ascii="Palatino Linotype" w:hAnsi="Palatino Linotype" w:cs="Arial"/>
          <w:color w:val="000000" w:themeColor="text1"/>
          <w:lang w:val="es-ES"/>
        </w:rPr>
      </w:pPr>
    </w:p>
    <w:p w:rsidR="00FC0B18" w:rsidRPr="00F511B5" w:rsidRDefault="007B70C2"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CC0EC5">
        <w:rPr>
          <w:rFonts w:ascii="Palatino Linotype" w:hAnsi="Palatino Linotype" w:cs="Arial"/>
          <w:color w:val="000000" w:themeColor="text1"/>
          <w:lang w:val="es-ES"/>
        </w:rPr>
        <w:t>Al presentar este voto disidente deseo manifestar lo que en su momento señalé durante la discusión de esta res</w:t>
      </w:r>
      <w:r w:rsidR="00FC0B18" w:rsidRPr="00CC0EC5">
        <w:rPr>
          <w:rFonts w:ascii="Palatino Linotype" w:hAnsi="Palatino Linotype" w:cs="Arial"/>
          <w:color w:val="000000" w:themeColor="text1"/>
          <w:lang w:val="es-ES"/>
        </w:rPr>
        <w:t>olución</w:t>
      </w:r>
      <w:r w:rsidR="007A4E77" w:rsidRPr="00CC0EC5">
        <w:rPr>
          <w:rFonts w:ascii="Palatino Linotype" w:hAnsi="Palatino Linotype" w:cs="Arial"/>
          <w:color w:val="000000" w:themeColor="text1"/>
          <w:lang w:val="es-ES"/>
        </w:rPr>
        <w:t xml:space="preserve"> en e</w:t>
      </w:r>
      <w:bookmarkStart w:id="2" w:name="_GoBack"/>
      <w:bookmarkEnd w:id="2"/>
      <w:r w:rsidR="007A4E77" w:rsidRPr="00CC0EC5">
        <w:rPr>
          <w:rFonts w:ascii="Palatino Linotype" w:hAnsi="Palatino Linotype" w:cs="Arial"/>
          <w:color w:val="000000" w:themeColor="text1"/>
          <w:lang w:val="es-ES"/>
        </w:rPr>
        <w:t>l Pleno de este órgano Garante, e</w:t>
      </w:r>
      <w:r w:rsidR="00FC0B18" w:rsidRPr="00CC0EC5">
        <w:rPr>
          <w:rFonts w:ascii="Palatino Linotype" w:hAnsi="Palatino Linotype" w:cs="Arial"/>
          <w:color w:val="000000" w:themeColor="text1"/>
          <w:lang w:val="es-ES"/>
        </w:rPr>
        <w:t xml:space="preserve">specificando que no comparto la decisión adoptada por la mayoría de los Comisionados integrantes del </w:t>
      </w:r>
      <w:r w:rsidR="00941946" w:rsidRPr="00CC0EC5">
        <w:rPr>
          <w:rFonts w:ascii="Palatino Linotype" w:hAnsi="Palatino Linotype" w:cs="Arial"/>
          <w:color w:val="000000" w:themeColor="text1"/>
          <w:lang w:val="es-ES"/>
        </w:rPr>
        <w:t>P</w:t>
      </w:r>
      <w:r w:rsidR="00FC0B18" w:rsidRPr="00CC0EC5">
        <w:rPr>
          <w:rFonts w:ascii="Palatino Linotype" w:hAnsi="Palatino Linotype" w:cs="Arial"/>
          <w:color w:val="000000" w:themeColor="text1"/>
          <w:lang w:val="es-ES"/>
        </w:rPr>
        <w:t xml:space="preserve">leno, en el sentido </w:t>
      </w:r>
      <w:r w:rsidR="00343467" w:rsidRPr="00CC0EC5">
        <w:rPr>
          <w:rFonts w:ascii="Palatino Linotype" w:hAnsi="Palatino Linotype" w:cs="Arial"/>
          <w:color w:val="000000" w:themeColor="text1"/>
          <w:lang w:val="es-ES"/>
        </w:rPr>
        <w:t xml:space="preserve">y razonamientos </w:t>
      </w:r>
      <w:r w:rsidR="00FC0B18" w:rsidRPr="00CC0EC5">
        <w:rPr>
          <w:rFonts w:ascii="Palatino Linotype" w:hAnsi="Palatino Linotype" w:cs="Arial"/>
          <w:color w:val="000000" w:themeColor="text1"/>
          <w:lang w:val="es-ES"/>
        </w:rPr>
        <w:t>de la resol</w:t>
      </w:r>
      <w:r w:rsidR="000D714D" w:rsidRPr="00CC0EC5">
        <w:rPr>
          <w:rFonts w:ascii="Palatino Linotype" w:hAnsi="Palatino Linotype" w:cs="Arial"/>
          <w:color w:val="000000" w:themeColor="text1"/>
          <w:lang w:val="es-ES"/>
        </w:rPr>
        <w:t>ución del recurso de revisión</w:t>
      </w:r>
      <w:r w:rsidR="00FC0B18" w:rsidRPr="00CC0EC5">
        <w:rPr>
          <w:rFonts w:ascii="Palatino Linotype" w:hAnsi="Palatino Linotype" w:cs="Arial"/>
          <w:color w:val="000000" w:themeColor="text1"/>
          <w:lang w:val="es-ES"/>
        </w:rPr>
        <w:t xml:space="preserve"> registrado con el número </w:t>
      </w:r>
      <w:r w:rsidR="000D714D" w:rsidRPr="00CC0EC5">
        <w:rPr>
          <w:rFonts w:ascii="Palatino Linotype" w:hAnsi="Palatino Linotype" w:cs="Arial"/>
          <w:color w:val="000000" w:themeColor="text1"/>
          <w:lang w:val="es-ES"/>
        </w:rPr>
        <w:t>de expediente al rubro indicado, por las consideraciones que se plasman en los párrafos siguientes.</w:t>
      </w:r>
    </w:p>
    <w:p w:rsidR="00F511B5" w:rsidRPr="00CC0EC5" w:rsidRDefault="00F511B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4F719D" w:rsidRDefault="00A410B3" w:rsidP="00F511B5">
      <w:pPr>
        <w:pStyle w:val="Ttulo1"/>
      </w:pPr>
      <w:bookmarkStart w:id="3" w:name="_Toc473810012"/>
      <w:bookmarkStart w:id="4" w:name="_Toc525561036"/>
      <w:bookmarkStart w:id="5" w:name="_Toc472594392"/>
      <w:bookmarkStart w:id="6" w:name="_Toc485911590"/>
      <w:r w:rsidRPr="004F719D">
        <w:t>De los requerimientos planteados en el recurso de revisión.</w:t>
      </w:r>
      <w:bookmarkEnd w:id="3"/>
      <w:bookmarkEnd w:id="4"/>
    </w:p>
    <w:p w:rsidR="00A410B3" w:rsidRPr="004F719D" w:rsidRDefault="00A410B3" w:rsidP="00F511B5">
      <w:pPr>
        <w:pStyle w:val="Prrafodelista"/>
        <w:spacing w:line="360" w:lineRule="auto"/>
        <w:ind w:left="1080"/>
        <w:jc w:val="both"/>
        <w:rPr>
          <w:rFonts w:ascii="Palatino Linotype" w:hAnsi="Palatino Linotype" w:cs="Arial"/>
          <w:b/>
        </w:rPr>
      </w:pPr>
    </w:p>
    <w:p w:rsidR="00CC0EC5" w:rsidRPr="00924DF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Pr>
          <w:rFonts w:ascii="Palatino Linotype" w:hAnsi="Palatino Linotype" w:cs="Arial"/>
        </w:rPr>
        <w:t xml:space="preserve">l </w:t>
      </w:r>
      <w:r>
        <w:rPr>
          <w:rFonts w:ascii="Palatino Linotype" w:hAnsi="Palatino Linotype"/>
          <w:b/>
          <w:sz w:val="22"/>
          <w:szCs w:val="22"/>
        </w:rPr>
        <w:t>Sistema de Autopistas, Aeropuertos, Servicios Conexos y Auxiliares del Estado de México</w:t>
      </w:r>
      <w:r w:rsidRPr="00924DF4">
        <w:rPr>
          <w:rFonts w:ascii="Palatino Linotype" w:hAnsi="Palatino Linotype" w:cs="Arial"/>
        </w:rPr>
        <w:t xml:space="preserve"> lo siguiente: </w:t>
      </w:r>
      <w:r w:rsidRPr="00924DF4">
        <w:rPr>
          <w:rFonts w:ascii="Palatino Linotype" w:hAnsi="Palatino Linotype" w:cs="Arial"/>
          <w:b/>
        </w:rPr>
        <w:t xml:space="preserve"> </w:t>
      </w:r>
    </w:p>
    <w:p w:rsidR="00CC0EC5" w:rsidRPr="00924DF4" w:rsidRDefault="00CC0EC5" w:rsidP="00F511B5">
      <w:pPr>
        <w:pStyle w:val="Prrafodelista"/>
        <w:spacing w:line="360" w:lineRule="auto"/>
        <w:ind w:left="360"/>
        <w:jc w:val="both"/>
        <w:rPr>
          <w:rFonts w:ascii="Palatino Linotype" w:eastAsia="Times New Roman" w:hAnsi="Palatino Linotype"/>
          <w:i/>
          <w:lang w:val="es-ES_tradnl" w:eastAsia="es-ES"/>
        </w:rPr>
      </w:pPr>
      <w:r w:rsidRPr="00924DF4">
        <w:rPr>
          <w:rFonts w:ascii="Palatino Linotype" w:hAnsi="Palatino Linotype" w:cs="Arial"/>
        </w:rPr>
        <w:t xml:space="preserve"> </w:t>
      </w:r>
    </w:p>
    <w:p w:rsidR="00CC0EC5" w:rsidRPr="00EF06C6" w:rsidRDefault="00CC0EC5" w:rsidP="00F511B5">
      <w:pPr>
        <w:spacing w:line="360" w:lineRule="auto"/>
        <w:ind w:left="567" w:right="616"/>
        <w:jc w:val="both"/>
        <w:rPr>
          <w:rFonts w:ascii="Palatino Linotype" w:hAnsi="Palatino Linotype"/>
          <w:sz w:val="22"/>
          <w:szCs w:val="22"/>
        </w:rPr>
      </w:pPr>
      <w:r w:rsidRPr="00EF06C6">
        <w:rPr>
          <w:rFonts w:ascii="Palatino Linotype" w:hAnsi="Palatino Linotype" w:cs="Arial"/>
          <w:i/>
          <w:sz w:val="22"/>
          <w:szCs w:val="22"/>
        </w:rPr>
        <w:t xml:space="preserve">“Al Gobierno del Estado de México, a través del Poder Ejecutivo, sus dependencias, sector central y/o descentralizado: En relación a la expropiación de una superficie de 16-17-56 hectáreas (DIECISÉIS HECTÁREAS, DIECISIETE ÁREAS, CINCUENTA Y SEIS CENTIÁREAS), de terrenos de agostadero de uso común, de la comunidad denominada "SANTA CRUZ AYOTUXCO", Municipio de Huixquilucan, Estado de México, a favor del organismo público descentralizado Sistema de Autopistas, </w:t>
      </w:r>
      <w:r w:rsidRPr="00EF06C6">
        <w:rPr>
          <w:rFonts w:ascii="Palatino Linotype" w:hAnsi="Palatino Linotype" w:cs="Arial"/>
          <w:i/>
          <w:sz w:val="22"/>
          <w:szCs w:val="22"/>
        </w:rPr>
        <w:lastRenderedPageBreak/>
        <w:t>Aeropuertos, Servicios Conexos y Auxiliares del Estado de México, el cual los destinará a la autopista Toluca-Naucalpan, publicada en el Diario Oficial de la Federación el 23 de octubre de 2015, solicito lo siguiente en formato digital: • El Plano topográfico definitivo que sirvió de base para la expropiación. (</w:t>
      </w:r>
      <w:proofErr w:type="gramStart"/>
      <w:r w:rsidRPr="00EF06C6">
        <w:rPr>
          <w:rFonts w:ascii="Palatino Linotype" w:hAnsi="Palatino Linotype" w:cs="Arial"/>
          <w:i/>
          <w:sz w:val="22"/>
          <w:szCs w:val="22"/>
        </w:rPr>
        <w:t>favor</w:t>
      </w:r>
      <w:proofErr w:type="gramEnd"/>
      <w:r w:rsidRPr="00EF06C6">
        <w:rPr>
          <w:rFonts w:ascii="Palatino Linotype" w:hAnsi="Palatino Linotype" w:cs="Arial"/>
          <w:i/>
          <w:sz w:val="22"/>
          <w:szCs w:val="22"/>
        </w:rPr>
        <w:t xml:space="preserve"> de proporcionar en archivo digital). • Si la cantidad por concepto de indemnización a que se refiere el decreto de expropiación a la fecha se encuentra pagada. • Para el caso en que se encuentre pagada, se sirva indicar y documentar la forma y términos en que fue pagada. • Indicar y documentar los acuerdos, compromisos establecidos con la comunidad expropiada derivados o relacionados con la citada expropiación, describiendo la forma y términos pactados, así como documentar en su caso el estatus que guarde cada uno de estos acuerdos o compromisos. • Indicar y documentar en su caso si derivado o relacionado con la expropiación que nos ocupa se ha hecho pago en lo individual a comuneros del citado núcleo agrario. • Para el caso de que se haya hecho pagos en lo individual a comuneros del citado núcleo agrario, derivado o relacionado con la expropiación que nos ocupa, se solicita en formato Excel: la relación de comuneros que han recibido pagos, indicando el nombre del comunero, el documento con el cual acredito su calidad de comunero, el importe que recibió como pago, la fecha en que recibió el pago, la forma de pago, para el caso de que se haya hecho pago vía cheque señalar: si a la fecha se encuentra pagado por la institución bancaria, así como la fecha que en su caso haya sido cobrado. De cada uno de los rubros anteriores, se solicita se documente la información que se proporcione. • Indicar el importe total convenido, acordado, pactado, negociado derivado o con motivo de la expropiación que nos ocupa, con el núcleo agrario, sus representantes o cualquier otra persona, así como el importe total pagado y pendiente de pago a la fecha con tal motivo. En relación a la expropiación de una superficie de 16-17-56 hectáreas </w:t>
      </w:r>
      <w:r w:rsidRPr="00EF06C6">
        <w:rPr>
          <w:rFonts w:ascii="Palatino Linotype" w:hAnsi="Palatino Linotype" w:cs="Arial"/>
          <w:i/>
          <w:sz w:val="22"/>
          <w:szCs w:val="22"/>
        </w:rPr>
        <w:lastRenderedPageBreak/>
        <w:t>(DIECISÉIS HECTÁREAS, DIECISIETE ÁREAS, CINCUENTA Y SEIS CENTIÁREAS), de terrenos de agostadero de uso común, de la comunidad denominada "SANTA CRUZ AYOTUXCO", Municipio de Huixquilucan, Estado de México, a favor del organismo público descentralizado Sistema de Autopistas, Aeropuertos, Servicios Conexos y Auxiliares del Estado de México, el cual los destinará a la autopista Toluca-Naucalpan, publicada en el Diario Oficial de la Federación el 23 de octubre de 2015, solicito lo siguiente en formato digital: • El Plano topográfico definitivo que sirvió de base para la expropiación. (</w:t>
      </w:r>
      <w:proofErr w:type="gramStart"/>
      <w:r w:rsidRPr="00EF06C6">
        <w:rPr>
          <w:rFonts w:ascii="Palatino Linotype" w:hAnsi="Palatino Linotype" w:cs="Arial"/>
          <w:i/>
          <w:sz w:val="22"/>
          <w:szCs w:val="22"/>
        </w:rPr>
        <w:t>favor</w:t>
      </w:r>
      <w:proofErr w:type="gramEnd"/>
      <w:r w:rsidRPr="00EF06C6">
        <w:rPr>
          <w:rFonts w:ascii="Palatino Linotype" w:hAnsi="Palatino Linotype" w:cs="Arial"/>
          <w:i/>
          <w:sz w:val="22"/>
          <w:szCs w:val="22"/>
        </w:rPr>
        <w:t xml:space="preserve"> de proporcionar en archivo digital). • Si la cantidad por concepto de indemnización a que se refiere el decreto de expropiación a la fecha se encuentra pagada. • Para el caso en que se encuentre pagada, se sirva indicar y documentar la forma y términos en que fue pagada. • Indicar y documentar los acuerdos, compromisos establecidos con la comunidad expropiada derivados o relacionados con la citada expropiación, describiendo la forma y términos pactados, así como documentar en su caso el estatus que guarde cada uno de estos acuerdos o compromisos. • Indicar y documentar en su caso si derivado o relacionado con la expropiación que nos ocupa se ha hecho pago en lo individual a comuneros del citado núcleo agrario. • Para el caso de que se haya hecho pagos en lo individual a comuneros del citado núcleo agrario, derivado o relacionado con la expropiación que nos ocupa, se solicita en formato Excel: la relación de comuneros que han recibido pagos, indicando el nombre del comunero, el documento con el cual acredito su calidad de comunero, el importe que recibió como pago, la fecha en que recibió el pago, la forma de pago, para el caso de que se haya hecho pago vía cheque señalar: si a la fecha se encuentra pagado por la institución bancaria, así como la fecha que en su caso haya sido cobrado. De cada uno de los rubros anteriores, se solicita se documente la información que se proporcione. • Indicar el importe total convenido, </w:t>
      </w:r>
      <w:r w:rsidRPr="00EF06C6">
        <w:rPr>
          <w:rFonts w:ascii="Palatino Linotype" w:hAnsi="Palatino Linotype" w:cs="Arial"/>
          <w:i/>
          <w:sz w:val="22"/>
          <w:szCs w:val="22"/>
        </w:rPr>
        <w:lastRenderedPageBreak/>
        <w:t xml:space="preserve">acordado, pactado, negociado derivado o con motivo de la expropiación que nos ocupa, con el núcleo agrario, sus representantes o cualquier otra persona, así como el importe total pagado y pendiente de pago a la fecha con tal motivo.” </w:t>
      </w:r>
      <w:r w:rsidRPr="00EF06C6">
        <w:rPr>
          <w:rFonts w:ascii="Palatino Linotype" w:hAnsi="Palatino Linotype"/>
          <w:sz w:val="22"/>
          <w:szCs w:val="22"/>
        </w:rPr>
        <w:t>(Sic).</w:t>
      </w:r>
    </w:p>
    <w:p w:rsidR="00A410B3" w:rsidRPr="004F719D" w:rsidRDefault="00A410B3" w:rsidP="00F511B5">
      <w:pPr>
        <w:pStyle w:val="Sinespaciado"/>
        <w:spacing w:line="360" w:lineRule="auto"/>
        <w:ind w:left="360" w:right="334"/>
        <w:jc w:val="both"/>
        <w:rPr>
          <w:rFonts w:ascii="Palatino Linotype" w:hAnsi="Palatino Linotype" w:cs="Arial"/>
          <w:i/>
          <w:color w:val="000000" w:themeColor="text1"/>
          <w:sz w:val="24"/>
          <w:szCs w:val="24"/>
        </w:rPr>
      </w:pPr>
    </w:p>
    <w:p w:rsidR="00CC0EC5" w:rsidRPr="00B4429E"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Sujeto Obligado mediante su escrito dio respuesta a la solicitud de información, de la siguiente manera:</w:t>
      </w:r>
    </w:p>
    <w:p w:rsidR="00CC0EC5" w:rsidRPr="00924DF4" w:rsidRDefault="00CC0EC5" w:rsidP="00F511B5">
      <w:pPr>
        <w:pStyle w:val="Prrafodelista"/>
        <w:spacing w:line="360" w:lineRule="auto"/>
        <w:ind w:left="0"/>
        <w:jc w:val="both"/>
        <w:rPr>
          <w:rFonts w:ascii="Palatino Linotype" w:eastAsia="Times New Roman" w:hAnsi="Palatino Linotype"/>
          <w:i/>
          <w:lang w:val="es-ES_tradnl" w:eastAsia="es-ES"/>
        </w:rPr>
      </w:pPr>
    </w:p>
    <w:p w:rsidR="00CC0EC5" w:rsidRPr="00EF06C6" w:rsidRDefault="00CC0EC5" w:rsidP="00F511B5">
      <w:pPr>
        <w:spacing w:line="360" w:lineRule="auto"/>
        <w:ind w:left="851" w:right="899"/>
        <w:jc w:val="right"/>
        <w:rPr>
          <w:rFonts w:ascii="Palatino Linotype" w:hAnsi="Palatino Linotype" w:cs="Arial"/>
          <w:i/>
          <w:sz w:val="22"/>
          <w:szCs w:val="22"/>
        </w:rPr>
      </w:pPr>
      <w:r w:rsidRPr="00EF06C6">
        <w:rPr>
          <w:rFonts w:ascii="Palatino Linotype" w:hAnsi="Palatino Linotype" w:cs="Arial"/>
          <w:i/>
          <w:sz w:val="22"/>
          <w:szCs w:val="22"/>
        </w:rPr>
        <w:t>“Metepec, México a 13 de Agosto de 2018</w:t>
      </w:r>
    </w:p>
    <w:p w:rsidR="00CC0EC5" w:rsidRPr="00EF06C6" w:rsidRDefault="00CC0EC5" w:rsidP="00F511B5">
      <w:pPr>
        <w:spacing w:line="360" w:lineRule="auto"/>
        <w:ind w:left="851" w:right="899"/>
        <w:jc w:val="right"/>
        <w:rPr>
          <w:rFonts w:ascii="Palatino Linotype" w:hAnsi="Palatino Linotype" w:cs="Arial"/>
          <w:i/>
          <w:sz w:val="22"/>
          <w:szCs w:val="22"/>
        </w:rPr>
      </w:pPr>
      <w:r w:rsidRPr="00EF06C6">
        <w:rPr>
          <w:rFonts w:ascii="Palatino Linotype" w:hAnsi="Palatino Linotype" w:cs="Arial"/>
          <w:i/>
          <w:sz w:val="22"/>
          <w:szCs w:val="22"/>
        </w:rPr>
        <w:t xml:space="preserve">Nombre del solicitante: </w:t>
      </w:r>
      <w:r w:rsidR="00A8678C" w:rsidRPr="00A8678C">
        <w:rPr>
          <w:rFonts w:ascii="Palatino Linotype" w:hAnsi="Palatino Linotype" w:cs="Arial"/>
          <w:i/>
          <w:sz w:val="22"/>
          <w:szCs w:val="22"/>
          <w:highlight w:val="black"/>
        </w:rPr>
        <w:t>--------------------------------------</w:t>
      </w:r>
    </w:p>
    <w:p w:rsidR="00CC0EC5" w:rsidRPr="00EF06C6" w:rsidRDefault="00CC0EC5" w:rsidP="00F511B5">
      <w:pPr>
        <w:spacing w:line="360" w:lineRule="auto"/>
        <w:ind w:left="851" w:right="899"/>
        <w:jc w:val="right"/>
        <w:rPr>
          <w:rFonts w:ascii="Palatino Linotype" w:hAnsi="Palatino Linotype" w:cs="Arial"/>
          <w:i/>
          <w:sz w:val="22"/>
          <w:szCs w:val="22"/>
        </w:rPr>
      </w:pPr>
      <w:r w:rsidRPr="00EF06C6">
        <w:rPr>
          <w:rFonts w:ascii="Palatino Linotype" w:hAnsi="Palatino Linotype" w:cs="Arial"/>
          <w:i/>
          <w:sz w:val="22"/>
          <w:szCs w:val="22"/>
        </w:rPr>
        <w:t>Folio de la solicitud: 00023/SAASCAEM/IP/2018</w:t>
      </w:r>
    </w:p>
    <w:p w:rsidR="00CC0EC5" w:rsidRPr="00EF06C6" w:rsidRDefault="00CC0EC5" w:rsidP="00F511B5">
      <w:pPr>
        <w:spacing w:line="360" w:lineRule="auto"/>
        <w:ind w:left="851" w:right="899"/>
        <w:jc w:val="right"/>
        <w:rPr>
          <w:rFonts w:ascii="Palatino Linotype" w:hAnsi="Palatino Linotype" w:cs="Arial"/>
          <w:i/>
          <w:sz w:val="22"/>
          <w:szCs w:val="22"/>
        </w:rPr>
      </w:pPr>
    </w:p>
    <w:p w:rsidR="00CC0EC5" w:rsidRPr="00EF06C6" w:rsidRDefault="00CC0EC5" w:rsidP="00F511B5">
      <w:pPr>
        <w:spacing w:line="360" w:lineRule="auto"/>
        <w:ind w:left="851" w:right="899"/>
        <w:jc w:val="both"/>
        <w:rPr>
          <w:rFonts w:ascii="Palatino Linotype" w:hAnsi="Palatino Linotype" w:cs="Arial"/>
          <w:i/>
          <w:sz w:val="22"/>
          <w:szCs w:val="22"/>
        </w:rPr>
      </w:pPr>
      <w:r w:rsidRPr="00EF06C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C0EC5" w:rsidRPr="00EF06C6" w:rsidRDefault="00CC0EC5" w:rsidP="00F511B5">
      <w:pPr>
        <w:spacing w:line="360" w:lineRule="auto"/>
        <w:ind w:left="851" w:right="899"/>
        <w:jc w:val="both"/>
        <w:rPr>
          <w:rFonts w:ascii="Palatino Linotype" w:hAnsi="Palatino Linotype" w:cs="Arial"/>
          <w:i/>
          <w:sz w:val="22"/>
          <w:szCs w:val="22"/>
        </w:rPr>
      </w:pPr>
    </w:p>
    <w:p w:rsidR="00CC0EC5" w:rsidRPr="00EF06C6" w:rsidRDefault="00CC0EC5" w:rsidP="00F511B5">
      <w:pPr>
        <w:spacing w:line="360" w:lineRule="auto"/>
        <w:ind w:left="851" w:right="899"/>
        <w:jc w:val="both"/>
        <w:rPr>
          <w:rFonts w:ascii="Palatino Linotype" w:hAnsi="Palatino Linotype" w:cs="Arial"/>
          <w:i/>
          <w:sz w:val="22"/>
          <w:szCs w:val="22"/>
        </w:rPr>
      </w:pPr>
      <w:r w:rsidRPr="00EF06C6">
        <w:rPr>
          <w:rFonts w:ascii="Palatino Linotype" w:hAnsi="Palatino Linotype" w:cs="Arial"/>
          <w:i/>
          <w:sz w:val="22"/>
          <w:szCs w:val="22"/>
        </w:rPr>
        <w:t>SE PROPORCIONA RESPUESTA A LA SOLICITUD 00023/SAASCAEM/IP/2018</w:t>
      </w:r>
    </w:p>
    <w:p w:rsidR="00CC0EC5" w:rsidRPr="00EF06C6" w:rsidRDefault="00CC0EC5" w:rsidP="00F511B5">
      <w:pPr>
        <w:spacing w:line="360" w:lineRule="auto"/>
        <w:ind w:left="851" w:right="899"/>
        <w:jc w:val="both"/>
        <w:rPr>
          <w:rFonts w:ascii="Palatino Linotype" w:hAnsi="Palatino Linotype" w:cs="Arial"/>
          <w:i/>
          <w:sz w:val="22"/>
          <w:szCs w:val="22"/>
        </w:rPr>
      </w:pPr>
    </w:p>
    <w:p w:rsidR="00CC0EC5" w:rsidRPr="00EF06C6" w:rsidRDefault="00CC0EC5" w:rsidP="00F511B5">
      <w:pPr>
        <w:spacing w:line="360" w:lineRule="auto"/>
        <w:ind w:left="851" w:right="899"/>
        <w:jc w:val="both"/>
        <w:rPr>
          <w:rFonts w:ascii="Palatino Linotype" w:hAnsi="Palatino Linotype" w:cs="Arial"/>
          <w:i/>
          <w:sz w:val="22"/>
          <w:szCs w:val="22"/>
        </w:rPr>
      </w:pPr>
      <w:r w:rsidRPr="00EF06C6">
        <w:rPr>
          <w:rFonts w:ascii="Palatino Linotype" w:hAnsi="Palatino Linotype" w:cs="Arial"/>
          <w:i/>
          <w:sz w:val="22"/>
          <w:szCs w:val="22"/>
        </w:rPr>
        <w:t>ATENTAMENTE</w:t>
      </w:r>
    </w:p>
    <w:p w:rsidR="00CC0EC5" w:rsidRPr="00EF06C6" w:rsidRDefault="00CC0EC5" w:rsidP="00F511B5">
      <w:pPr>
        <w:spacing w:line="360" w:lineRule="auto"/>
        <w:ind w:left="851" w:right="899"/>
        <w:jc w:val="both"/>
        <w:rPr>
          <w:rFonts w:ascii="Palatino Linotype" w:hAnsi="Palatino Linotype" w:cs="Arial"/>
          <w:i/>
          <w:sz w:val="22"/>
          <w:szCs w:val="22"/>
        </w:rPr>
      </w:pPr>
    </w:p>
    <w:p w:rsidR="00CC0EC5" w:rsidRDefault="00CC0EC5" w:rsidP="00F511B5">
      <w:pPr>
        <w:spacing w:line="360" w:lineRule="auto"/>
        <w:ind w:left="851" w:right="899"/>
        <w:jc w:val="both"/>
        <w:rPr>
          <w:rFonts w:ascii="Palatino Linotype" w:hAnsi="Palatino Linotype" w:cs="Arial"/>
          <w:i/>
          <w:sz w:val="22"/>
          <w:szCs w:val="22"/>
        </w:rPr>
      </w:pPr>
      <w:r w:rsidRPr="00EF06C6">
        <w:rPr>
          <w:rFonts w:ascii="Palatino Linotype" w:hAnsi="Palatino Linotype" w:cs="Arial"/>
          <w:i/>
          <w:sz w:val="22"/>
          <w:szCs w:val="22"/>
        </w:rPr>
        <w:t>BIOL. MELINA TORRES GIL” (Sic)</w:t>
      </w:r>
    </w:p>
    <w:p w:rsidR="00CC0EC5" w:rsidRDefault="00CC0EC5" w:rsidP="00F511B5">
      <w:pPr>
        <w:spacing w:line="360" w:lineRule="auto"/>
        <w:ind w:left="851" w:right="899"/>
        <w:jc w:val="both"/>
        <w:rPr>
          <w:rFonts w:ascii="Palatino Linotype" w:hAnsi="Palatino Linotype" w:cs="Arial"/>
          <w:i/>
        </w:rPr>
      </w:pPr>
    </w:p>
    <w:p w:rsidR="00CC0EC5" w:rsidRDefault="00CC0EC5" w:rsidP="00F511B5">
      <w:pPr>
        <w:spacing w:line="360" w:lineRule="auto"/>
        <w:ind w:left="851" w:right="899"/>
        <w:jc w:val="both"/>
        <w:rPr>
          <w:rFonts w:ascii="Palatino Linotype" w:hAnsi="Palatino Linotype" w:cs="Arial"/>
          <w:i/>
        </w:rPr>
      </w:pPr>
    </w:p>
    <w:p w:rsidR="00CC0EC5" w:rsidRPr="00B4429E" w:rsidRDefault="00CC0EC5" w:rsidP="00F511B5">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firstLine="0"/>
        <w:jc w:val="both"/>
        <w:rPr>
          <w:rFonts w:ascii="Palatino Linotype" w:hAnsi="Palatino Linotype" w:cs="Arial"/>
          <w:i/>
        </w:rPr>
      </w:pPr>
      <w:r>
        <w:rPr>
          <w:rFonts w:ascii="Palatino Linotype" w:hAnsi="Palatino Linotype" w:cs="Arial"/>
        </w:rPr>
        <w:lastRenderedPageBreak/>
        <w:t xml:space="preserve">La respuesta se acompañó de 23 archivos, donde se advierte que el SUJETO OBLIGADO busca la reserva de la información. </w:t>
      </w:r>
    </w:p>
    <w:p w:rsidR="00CC0EC5" w:rsidRPr="00924DF4" w:rsidRDefault="00CC0EC5" w:rsidP="00F511B5">
      <w:pPr>
        <w:spacing w:line="360" w:lineRule="auto"/>
        <w:ind w:right="616"/>
        <w:jc w:val="both"/>
        <w:rPr>
          <w:rFonts w:ascii="Palatino Linotype" w:eastAsia="Times New Roman" w:hAnsi="Palatino Linotype"/>
          <w:i/>
          <w:lang w:val="es-ES_tradnl" w:eastAsia="es-ES"/>
        </w:rPr>
      </w:pPr>
    </w:p>
    <w:p w:rsidR="0007502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ese sentido,</w:t>
      </w:r>
      <w:r w:rsidRPr="00924DF4">
        <w:rPr>
          <w:rFonts w:ascii="Palatino Linotype" w:hAnsi="Palatino Linotype" w:cs="Arial"/>
          <w:b/>
        </w:rPr>
        <w:t xml:space="preserve"> </w:t>
      </w:r>
      <w:r w:rsidRPr="00924DF4">
        <w:rPr>
          <w:rFonts w:ascii="Palatino Linotype" w:hAnsi="Palatino Linotype" w:cs="Arial"/>
        </w:rPr>
        <w:t xml:space="preserve">el particular en sus motivos de inconformidad, se duele arguyendo que la respuesta obtenida </w:t>
      </w:r>
      <w:r>
        <w:rPr>
          <w:rFonts w:ascii="Palatino Linotype" w:hAnsi="Palatino Linotype" w:cs="Arial"/>
        </w:rPr>
        <w:t xml:space="preserve">determinó negar la solicitud de información requerida por considerarla como reservada, sin señalar el precepto legal en el que se funde tal negativa, ni los elementos de los cuales se desprenda la actualización de la hipótesis donde se advierta la actualización de la hipótesis de reserva. </w:t>
      </w:r>
      <w:bookmarkStart w:id="7" w:name="_Toc525561037"/>
    </w:p>
    <w:p w:rsidR="00CC0EC5" w:rsidRPr="00CC0EC5" w:rsidRDefault="00CC0EC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864D58" w:rsidRDefault="00864D58" w:rsidP="00F511B5">
      <w:pPr>
        <w:pStyle w:val="Ttulo1"/>
      </w:pPr>
      <w:r w:rsidRPr="004F719D">
        <w:t xml:space="preserve">De la respuesta </w:t>
      </w:r>
      <w:r w:rsidR="00266515" w:rsidRPr="004F719D">
        <w:t>del Sujeto Obligado</w:t>
      </w:r>
      <w:r w:rsidRPr="004F719D">
        <w:t>.</w:t>
      </w:r>
      <w:bookmarkEnd w:id="5"/>
      <w:bookmarkEnd w:id="6"/>
      <w:bookmarkEnd w:id="7"/>
    </w:p>
    <w:p w:rsidR="00864D58" w:rsidRPr="004F719D" w:rsidRDefault="00864D58" w:rsidP="00F511B5">
      <w:pPr>
        <w:spacing w:line="360" w:lineRule="auto"/>
        <w:rPr>
          <w:rFonts w:ascii="Palatino Linotype" w:hAnsi="Palatino Linotype"/>
          <w:color w:val="000000" w:themeColor="text1"/>
        </w:rPr>
      </w:pPr>
    </w:p>
    <w:p w:rsidR="00CC0EC5" w:rsidRDefault="00170FB4"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F719D">
        <w:rPr>
          <w:rFonts w:ascii="Palatino Linotype" w:hAnsi="Palatino Linotype" w:cs="Arial"/>
          <w:color w:val="000000"/>
        </w:rPr>
        <w:t>Como ya f</w:t>
      </w:r>
      <w:r w:rsidR="00CC0EC5">
        <w:rPr>
          <w:rFonts w:ascii="Palatino Linotype" w:hAnsi="Palatino Linotype" w:cs="Arial"/>
          <w:color w:val="000000"/>
        </w:rPr>
        <w:t>ue</w:t>
      </w:r>
      <w:r w:rsidRPr="004F719D">
        <w:rPr>
          <w:rFonts w:ascii="Palatino Linotype" w:hAnsi="Palatino Linotype" w:cs="Arial"/>
          <w:color w:val="000000"/>
        </w:rPr>
        <w:t xml:space="preserve"> precisado,</w:t>
      </w:r>
      <w:r w:rsidR="00CC0EC5" w:rsidRPr="00CC0EC5">
        <w:rPr>
          <w:rFonts w:ascii="Palatino Linotype" w:hAnsi="Palatino Linotype" w:cs="Arial"/>
        </w:rPr>
        <w:t xml:space="preserve"> </w:t>
      </w:r>
      <w:r w:rsidR="00CC0EC5">
        <w:rPr>
          <w:rFonts w:ascii="Palatino Linotype" w:hAnsi="Palatino Linotype" w:cs="Arial"/>
        </w:rPr>
        <w:t xml:space="preserve">el </w:t>
      </w:r>
      <w:r w:rsidR="00CC0EC5" w:rsidRPr="00924DF4">
        <w:rPr>
          <w:rFonts w:ascii="Palatino Linotype" w:hAnsi="Palatino Linotype" w:cs="Arial"/>
        </w:rPr>
        <w:t>Sujeto Obligado refiere que la i</w:t>
      </w:r>
      <w:r w:rsidR="00CC0EC5">
        <w:rPr>
          <w:rFonts w:ascii="Palatino Linotype" w:hAnsi="Palatino Linotype" w:cs="Arial"/>
        </w:rPr>
        <w:t xml:space="preserve">nformación resulta reservada al tenor de que la información requerida es materializada a través de un acto jurídico administrativo, emanado de una autoridad o bien, mediante la firma de convenios y/o contratos, sin embargo, los tres procedimientos tienen como origen/destino la liberación del derecho de vía necesario para la construcción, operación y mantenimiento de la Autopista, y su difusión  puede causar daño </w:t>
      </w:r>
      <w:r w:rsidR="00CC0EC5" w:rsidRPr="00CC0EC5">
        <w:rPr>
          <w:rFonts w:ascii="Palatino Linotype" w:hAnsi="Palatino Linotype" w:cs="Arial"/>
        </w:rPr>
        <w:t xml:space="preserve">u obstruya proyectos, la administración de justicia y seguridad, entre otras cosas. </w:t>
      </w:r>
    </w:p>
    <w:p w:rsidR="00CC0EC5" w:rsidRPr="00CC0EC5" w:rsidRDefault="00CC0EC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C0EC5" w:rsidRPr="0018311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De lo anterior, es menester señalar que el Instituto Nacional de Transparencia y Acceso a la Información y Protección de Datos Personales, en el </w:t>
      </w:r>
      <w:r w:rsidRPr="00183114">
        <w:rPr>
          <w:rFonts w:ascii="Palatino Linotype" w:hAnsi="Palatino Linotype" w:cs="Arial"/>
        </w:rPr>
        <w:t xml:space="preserve">expediente RIA </w:t>
      </w:r>
      <w:r w:rsidRPr="00183114">
        <w:rPr>
          <w:rFonts w:ascii="Palatino Linotype" w:hAnsi="Palatino Linotype" w:cs="Arial"/>
        </w:rPr>
        <w:lastRenderedPageBreak/>
        <w:t>82/18, establece que para acreditar la reserva de la información, es necesario actualizar cuatro requisitos, siendo estos los siguientes:</w:t>
      </w:r>
    </w:p>
    <w:p w:rsidR="00CC0EC5" w:rsidRPr="00924DF4" w:rsidRDefault="00CC0EC5" w:rsidP="00F511B5">
      <w:pPr>
        <w:pStyle w:val="Prrafodelista"/>
        <w:spacing w:line="360" w:lineRule="auto"/>
        <w:rPr>
          <w:rFonts w:ascii="Palatino Linotype" w:hAnsi="Palatino Linotype" w:cs="Arial"/>
        </w:rPr>
      </w:pPr>
    </w:p>
    <w:p w:rsidR="00CC0EC5" w:rsidRPr="0044164A"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La existencia de un juicio o procedimiento administrativo materialmente jurisdiccional. </w:t>
      </w:r>
    </w:p>
    <w:p w:rsidR="0044164A" w:rsidRPr="0044164A" w:rsidRDefault="0044164A"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44164A" w:rsidRPr="0044164A"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Que el juicio se encuentre en trámite, es decir, que no haya causado estad.</w:t>
      </w:r>
    </w:p>
    <w:p w:rsidR="00CC0EC5" w:rsidRPr="0044164A" w:rsidRDefault="00CC0EC5"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 </w:t>
      </w:r>
    </w:p>
    <w:p w:rsidR="00CC0EC5" w:rsidRPr="0044164A"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El vínculo entre la información solicitada y el procedimiento judicial de que se trate. </w:t>
      </w:r>
    </w:p>
    <w:p w:rsidR="0044164A" w:rsidRPr="0044164A" w:rsidRDefault="0044164A" w:rsidP="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CC0EC5" w:rsidRPr="0044164A"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CC0EC5" w:rsidRPr="00924DF4" w:rsidRDefault="00CC0EC5" w:rsidP="00F511B5">
      <w:pPr>
        <w:pStyle w:val="Prrafodelista"/>
        <w:spacing w:before="240" w:after="240" w:line="360" w:lineRule="auto"/>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Por lo que, únicamente al configurarse los mismos</w:t>
      </w:r>
      <w:r w:rsidR="0044164A">
        <w:rPr>
          <w:rFonts w:ascii="Palatino Linotype" w:hAnsi="Palatino Linotype" w:cs="Arial"/>
        </w:rPr>
        <w:t>,</w:t>
      </w:r>
      <w:r>
        <w:rPr>
          <w:rFonts w:ascii="Palatino Linotype" w:hAnsi="Palatino Linotype" w:cs="Arial"/>
        </w:rPr>
        <w:t xml:space="preserve"> es procedente la reserva de la información, si uno de los requisitos faltase, no será en ningún momento posible su reserva. </w:t>
      </w:r>
    </w:p>
    <w:p w:rsidR="00CC0EC5" w:rsidRDefault="00CC0EC5" w:rsidP="00F511B5">
      <w:pPr>
        <w:pStyle w:val="Prrafodelista"/>
        <w:spacing w:before="240" w:after="240" w:line="360" w:lineRule="auto"/>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lastRenderedPageBreak/>
        <w:t>Del expediente, objeto de mi presente voto</w:t>
      </w:r>
      <w:r w:rsidR="0044164A">
        <w:rPr>
          <w:rFonts w:ascii="Palatino Linotype" w:hAnsi="Palatino Linotype" w:cs="Arial"/>
        </w:rPr>
        <w:t xml:space="preserve"> disidente</w:t>
      </w:r>
      <w:r>
        <w:rPr>
          <w:rFonts w:ascii="Palatino Linotype" w:hAnsi="Palatino Linotype" w:cs="Arial"/>
        </w:rPr>
        <w:t xml:space="preserve">, advierto que del estudio minucioso de la resolución dictada por la ponencia resolutoria, se desprende lo siguiente: </w:t>
      </w:r>
    </w:p>
    <w:p w:rsidR="00CC0EC5" w:rsidRPr="00F36544" w:rsidRDefault="00CC0EC5" w:rsidP="00F511B5">
      <w:pPr>
        <w:pStyle w:val="Prrafodelista"/>
        <w:spacing w:line="360" w:lineRule="auto"/>
        <w:rPr>
          <w:rFonts w:ascii="Palatino Linotype" w:hAnsi="Palatino Linotype" w:cs="Arial"/>
        </w:rPr>
      </w:pPr>
    </w:p>
    <w:p w:rsidR="00CC0EC5" w:rsidRDefault="00CC0EC5" w:rsidP="00F511B5">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hanging="11"/>
        <w:jc w:val="both"/>
        <w:rPr>
          <w:rFonts w:ascii="Palatino Linotype" w:hAnsi="Palatino Linotype" w:cs="Arial"/>
        </w:rPr>
      </w:pPr>
      <w:r>
        <w:rPr>
          <w:rFonts w:ascii="Palatino Linotype" w:hAnsi="Palatino Linotype" w:cs="Arial"/>
        </w:rPr>
        <w:t>El Sujeto Obligado reservó la información sin analizar la naturaleza de la misma, sin ajustar las circunstancias de modo tiempo y lugar a la hipótesis que configura la reserva, por lo que l</w:t>
      </w:r>
      <w:r w:rsidRPr="00F36544">
        <w:rPr>
          <w:rFonts w:ascii="Palatino Linotype" w:hAnsi="Palatino Linotype" w:cs="Arial"/>
        </w:rPr>
        <w:t>a prueba de daño que pretendió realizar fue de manera incorrecta.</w:t>
      </w:r>
    </w:p>
    <w:p w:rsidR="00CC0EC5" w:rsidRDefault="00CC0EC5" w:rsidP="00F511B5">
      <w:pPr>
        <w:pStyle w:val="Prrafodelista"/>
        <w:spacing w:before="240" w:after="240" w:line="360" w:lineRule="auto"/>
        <w:ind w:left="567" w:right="616" w:hanging="11"/>
        <w:jc w:val="both"/>
        <w:rPr>
          <w:rFonts w:ascii="Palatino Linotype" w:hAnsi="Palatino Linotype" w:cs="Arial"/>
        </w:rPr>
      </w:pPr>
    </w:p>
    <w:p w:rsidR="00CC0EC5" w:rsidRDefault="00CC0EC5" w:rsidP="00F511B5">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rPr>
      </w:pPr>
      <w:r>
        <w:rPr>
          <w:rFonts w:ascii="Palatino Linotype" w:hAnsi="Palatino Linotype" w:cs="Arial"/>
        </w:rPr>
        <w:t xml:space="preserve">La ponencia tampoco analizó tales circunstancias, ni materializo la facultad que la ley confiere en sus artículos 182 y 185 de la Ley de la materia. </w:t>
      </w:r>
    </w:p>
    <w:p w:rsidR="00CC0EC5" w:rsidRPr="00F36544" w:rsidRDefault="00CC0EC5" w:rsidP="00F511B5">
      <w:pPr>
        <w:pStyle w:val="Prrafodelista"/>
        <w:spacing w:line="360" w:lineRule="auto"/>
        <w:ind w:left="1571"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De lo anterior</w:t>
      </w:r>
      <w:r w:rsidRPr="00924DF4">
        <w:rPr>
          <w:rFonts w:ascii="Palatino Linotype" w:hAnsi="Palatino Linotype" w:cs="Arial"/>
        </w:rPr>
        <w:t xml:space="preserve">, se </w:t>
      </w:r>
      <w:r>
        <w:rPr>
          <w:rFonts w:ascii="Palatino Linotype" w:hAnsi="Palatino Linotype" w:cs="Arial"/>
        </w:rPr>
        <w:t xml:space="preserve"> entiende que </w:t>
      </w:r>
      <w:r w:rsidRPr="00924DF4">
        <w:rPr>
          <w:rFonts w:ascii="Palatino Linotype" w:hAnsi="Palatino Linotype" w:cs="Arial"/>
        </w:rPr>
        <w:t>en ningún momento el Sujeto Obligado</w:t>
      </w:r>
      <w:r>
        <w:rPr>
          <w:rFonts w:ascii="Palatino Linotype" w:hAnsi="Palatino Linotype" w:cs="Arial"/>
        </w:rPr>
        <w:t xml:space="preserve">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w:t>
      </w:r>
      <w:r w:rsidRPr="00924DF4">
        <w:rPr>
          <w:rFonts w:ascii="Palatino Linotype" w:hAnsi="Palatino Linotype" w:cs="Arial"/>
        </w:rPr>
        <w:t xml:space="preserve"> resulta </w:t>
      </w:r>
      <w:r>
        <w:rPr>
          <w:rFonts w:ascii="Palatino Linotype" w:hAnsi="Palatino Linotype" w:cs="Arial"/>
        </w:rPr>
        <w:t xml:space="preserve">erróneo reservar la información.  </w:t>
      </w:r>
    </w:p>
    <w:p w:rsidR="00CC0EC5" w:rsidRPr="00924DF4" w:rsidRDefault="00CC0EC5" w:rsidP="00F511B5">
      <w:pPr>
        <w:pStyle w:val="Prrafodelista"/>
        <w:spacing w:line="360" w:lineRule="auto"/>
        <w:ind w:left="0" w:right="49"/>
        <w:jc w:val="both"/>
        <w:rPr>
          <w:rFonts w:ascii="Palatino Linotype" w:hAnsi="Palatino Linotype" w:cs="Arial"/>
        </w:rPr>
      </w:pPr>
    </w:p>
    <w:p w:rsidR="00CC0EC5" w:rsidRPr="000B4397"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 xml:space="preserve">Respecto al análisis realizado por la ponencia </w:t>
      </w:r>
      <w:proofErr w:type="spellStart"/>
      <w:r>
        <w:rPr>
          <w:rFonts w:ascii="Palatino Linotype" w:hAnsi="Palatino Linotype" w:cs="Arial"/>
        </w:rPr>
        <w:t>resolutora</w:t>
      </w:r>
      <w:proofErr w:type="spellEnd"/>
      <w:r>
        <w:rPr>
          <w:rFonts w:ascii="Palatino Linotype" w:hAnsi="Palatino Linotype" w:cs="Arial"/>
        </w:rPr>
        <w:t xml:space="preserve"> tampoco analizó debidamente tales circunstancias, solamente se constriñe a señalar que la información pública en posesión de los sujetos obligados, debe de ser entregada a </w:t>
      </w:r>
      <w:r>
        <w:rPr>
          <w:rFonts w:ascii="Palatino Linotype" w:hAnsi="Palatino Linotype" w:cs="Arial"/>
        </w:rPr>
        <w:lastRenderedPageBreak/>
        <w:t xml:space="preserve">los particulares para su conocimiento, a menos que se actualicen las limitantes para restringir su acceso, sin embargo, su estudio no tocó los alcances de la figura de la reserva, ni los requisitos para su configuración, en razón de que en ningún momento se pronuncia respecto a tal circunstancia, manteniendo dicha postura y estudio en el mismo sentido. </w:t>
      </w:r>
    </w:p>
    <w:p w:rsidR="00CC0EC5" w:rsidRPr="006C0255" w:rsidRDefault="00CC0EC5" w:rsidP="00F511B5">
      <w:pPr>
        <w:pStyle w:val="Prrafodelista"/>
        <w:spacing w:line="360" w:lineRule="auto"/>
        <w:rPr>
          <w:rFonts w:ascii="Palatino Linotype" w:hAnsi="Palatino Linotype" w:cs="Arial"/>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0B4397">
        <w:rPr>
          <w:rFonts w:ascii="Palatino Linotype" w:hAnsi="Palatino Linotype" w:cs="Arial"/>
        </w:rPr>
        <w:t xml:space="preserve">Es imprescriptible señalar que en el presente año, </w:t>
      </w:r>
      <w:r w:rsidRPr="00CC0EC5">
        <w:rPr>
          <w:rFonts w:ascii="Palatino Linotype" w:hAnsi="Palatino Linotype" w:cs="Arial"/>
        </w:rPr>
        <w:t xml:space="preserve">este </w:t>
      </w:r>
      <w:r>
        <w:rPr>
          <w:rFonts w:ascii="Palatino Linotype" w:hAnsi="Palatino Linotype" w:cs="Arial"/>
        </w:rPr>
        <w:t xml:space="preserve">Órgano </w:t>
      </w:r>
      <w:proofErr w:type="spellStart"/>
      <w:r>
        <w:rPr>
          <w:rFonts w:ascii="Palatino Linotype" w:hAnsi="Palatino Linotype" w:cs="Arial"/>
        </w:rPr>
        <w:t>Resolutor</w:t>
      </w:r>
      <w:proofErr w:type="spellEnd"/>
      <w:r>
        <w:rPr>
          <w:rFonts w:ascii="Palatino Linotype" w:hAnsi="Palatino Linotype" w:cs="Arial"/>
        </w:rPr>
        <w:t xml:space="preserve"> </w:t>
      </w:r>
      <w:r w:rsidRPr="00CC0EC5">
        <w:rPr>
          <w:rFonts w:ascii="Palatino Linotype" w:hAnsi="Palatino Linotype" w:cs="Arial"/>
        </w:rPr>
        <w:t>ha sido sometido a un estricto control por parte del Instituto Nacional de Transparencia, Acceso a la Información y Protección de Datos Personales (INAI), como resultado de</w:t>
      </w:r>
      <w:r w:rsidR="0044164A">
        <w:rPr>
          <w:rFonts w:ascii="Palatino Linotype" w:hAnsi="Palatino Linotype" w:cs="Arial"/>
        </w:rPr>
        <w:t xml:space="preserve"> </w:t>
      </w:r>
      <w:r w:rsidRPr="00CC0EC5">
        <w:rPr>
          <w:rFonts w:ascii="Palatino Linotype" w:hAnsi="Palatino Linotype" w:cs="Arial"/>
        </w:rPr>
        <w:t>l</w:t>
      </w:r>
      <w:r w:rsidR="0044164A">
        <w:rPr>
          <w:rFonts w:ascii="Palatino Linotype" w:hAnsi="Palatino Linotype" w:cs="Arial"/>
        </w:rPr>
        <w:t>os</w:t>
      </w:r>
      <w:r w:rsidRPr="00CC0EC5">
        <w:rPr>
          <w:rFonts w:ascii="Palatino Linotype" w:hAnsi="Palatino Linotype" w:cs="Arial"/>
        </w:rPr>
        <w:t xml:space="preserve"> Recurso</w:t>
      </w:r>
      <w:r w:rsidR="0044164A">
        <w:rPr>
          <w:rFonts w:ascii="Palatino Linotype" w:hAnsi="Palatino Linotype" w:cs="Arial"/>
        </w:rPr>
        <w:t>s</w:t>
      </w:r>
      <w:r w:rsidRPr="00CC0EC5">
        <w:rPr>
          <w:rFonts w:ascii="Palatino Linotype" w:hAnsi="Palatino Linotype" w:cs="Arial"/>
        </w:rPr>
        <w:t xml:space="preserve"> de Inconformidad</w:t>
      </w:r>
      <w:r w:rsidR="0044164A">
        <w:rPr>
          <w:rFonts w:ascii="Palatino Linotype" w:hAnsi="Palatino Linotype" w:cs="Arial"/>
        </w:rPr>
        <w:t xml:space="preserve"> </w:t>
      </w:r>
      <w:r w:rsidR="0044164A" w:rsidRPr="00CC0EC5">
        <w:rPr>
          <w:rFonts w:ascii="Palatino Linotype" w:hAnsi="Palatino Linotype" w:cs="Arial"/>
          <w:lang w:eastAsia="es-MX"/>
        </w:rPr>
        <w:t>069/18 y RIA 082/18</w:t>
      </w:r>
      <w:r w:rsidR="0044164A">
        <w:rPr>
          <w:rFonts w:ascii="Palatino Linotype" w:hAnsi="Palatino Linotype" w:cs="Arial"/>
        </w:rPr>
        <w:t xml:space="preserve">, en los que el Órgano Garante Nacional, puntualmente dirigió a este Órgano Garante local, que para invocar la causal de reserva, se deben de agotar todos y cada uno de los requisitos. </w:t>
      </w:r>
    </w:p>
    <w:p w:rsidR="00CC0EC5" w:rsidRPr="000B4397" w:rsidRDefault="00CC0EC5" w:rsidP="00F511B5">
      <w:pPr>
        <w:pStyle w:val="Prrafodelista"/>
        <w:spacing w:line="360" w:lineRule="auto"/>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w:t>
      </w:r>
      <w:r>
        <w:rPr>
          <w:rFonts w:ascii="Palatino Linotype" w:hAnsi="Palatino Linotype" w:cs="Arial"/>
        </w:rPr>
        <w:lastRenderedPageBreak/>
        <w:t xml:space="preserve">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CC0EC5" w:rsidRDefault="00CC0EC5" w:rsidP="00F511B5">
      <w:pPr>
        <w:pStyle w:val="Prrafodelista"/>
        <w:spacing w:line="360" w:lineRule="auto"/>
        <w:ind w:left="0" w:right="49"/>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E</w:t>
      </w:r>
      <w:r w:rsidRPr="001A2DAB">
        <w:rPr>
          <w:rFonts w:ascii="Palatino Linotype" w:hAnsi="Palatino Linotype" w:cs="Arial"/>
        </w:rPr>
        <w:t xml:space="preserve">s necesario señalar que </w:t>
      </w:r>
      <w:r>
        <w:rPr>
          <w:rFonts w:ascii="Palatino Linotype" w:hAnsi="Palatino Linotype" w:cs="Arial"/>
        </w:rPr>
        <w:t>el</w:t>
      </w:r>
      <w:r w:rsidRPr="001A2DAB">
        <w:rPr>
          <w:rFonts w:ascii="Palatino Linotype" w:hAnsi="Palatino Linotype" w:cs="Arial"/>
        </w:rPr>
        <w:t xml:space="preserve"> </w:t>
      </w:r>
      <w:r>
        <w:rPr>
          <w:rFonts w:ascii="Palatino Linotype" w:hAnsi="Palatino Linotype" w:cs="Arial"/>
        </w:rPr>
        <w:t>Derecho de Acceso a la Información (</w:t>
      </w:r>
      <w:r w:rsidRPr="001A2DAB">
        <w:rPr>
          <w:rFonts w:ascii="Palatino Linotype" w:hAnsi="Palatino Linotype" w:cs="Arial"/>
        </w:rPr>
        <w:t>DAI</w:t>
      </w:r>
      <w:r>
        <w:rPr>
          <w:rFonts w:ascii="Palatino Linotype" w:hAnsi="Palatino Linotype" w:cs="Arial"/>
        </w:rPr>
        <w:t>)</w:t>
      </w:r>
      <w:r w:rsidRPr="001A2DAB">
        <w:rPr>
          <w:rFonts w:ascii="Palatino Linotype" w:hAnsi="Palatino Linotype" w:cs="Arial"/>
        </w:rPr>
        <w:t>, tiene una justificación clara y precisa que se deriva de un aspecto de singular importancia, ya que lo que tratamos y pretendemos resolver consiste en el ejercicio de un derecho humano constitucional y convencionalmente reconocido.</w:t>
      </w:r>
    </w:p>
    <w:p w:rsidR="00CC0EC5" w:rsidRPr="001A2DAB" w:rsidRDefault="00CC0EC5" w:rsidP="00F511B5">
      <w:pPr>
        <w:pStyle w:val="Prrafodelista"/>
        <w:spacing w:line="360" w:lineRule="auto"/>
        <w:rPr>
          <w:rFonts w:ascii="Palatino Linotype" w:hAnsi="Palatino Linotype" w:cs="Arial"/>
        </w:rPr>
      </w:pPr>
    </w:p>
    <w:p w:rsidR="00CC0EC5" w:rsidRPr="001A2DAB"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1A2DAB">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1A2DAB">
        <w:rPr>
          <w:rFonts w:ascii="Palatino Linotype" w:hAnsi="Palatino Linotype" w:cs="Arial"/>
          <w:b/>
        </w:rPr>
        <w:t>garantía de los derechos humanos</w:t>
      </w:r>
      <w:r w:rsidRPr="001A2DAB">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CC0EC5" w:rsidRPr="007F0A7B" w:rsidRDefault="00CC0EC5" w:rsidP="00F511B5">
      <w:pPr>
        <w:pStyle w:val="Prrafodelista"/>
        <w:spacing w:before="240" w:after="240" w:line="360" w:lineRule="auto"/>
        <w:ind w:left="0" w:right="49"/>
        <w:jc w:val="both"/>
        <w:rPr>
          <w:rFonts w:ascii="Palatino Linotype" w:hAnsi="Palatino Linotype" w:cs="Arial"/>
        </w:rPr>
      </w:pPr>
    </w:p>
    <w:p w:rsidR="00CC0EC5" w:rsidRPr="0094352B"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este sentido el Dr. Miguel Carbonell ha señalado que:</w:t>
      </w:r>
      <w:r>
        <w:rPr>
          <w:rFonts w:ascii="Palatino Linotype" w:hAnsi="Palatino Linotype" w:cs="Arial"/>
        </w:rPr>
        <w:t xml:space="preserve"> </w:t>
      </w:r>
      <w:r w:rsidRPr="0094352B">
        <w:rPr>
          <w:rFonts w:ascii="Palatino Linotype" w:hAnsi="Palatino Linotype" w:cs="Arial"/>
        </w:rPr>
        <w:t xml:space="preserve">“Queda claro, en consecuencia, que las obligaciones de promoción, respeto, protección y garantía de los derechos corren a cargo de todos los poderes, incluso </w:t>
      </w:r>
      <w:r w:rsidRPr="0094352B">
        <w:rPr>
          <w:rFonts w:ascii="Palatino Linotype" w:hAnsi="Palatino Linotype" w:cs="Arial"/>
          <w:b/>
        </w:rPr>
        <w:t>considerando que algún nivel de gobierno tenga obligaciones reforzadas hacia ciertos derechos.</w:t>
      </w:r>
      <w:r w:rsidRPr="0094352B">
        <w:rPr>
          <w:rFonts w:ascii="Palatino Linotype" w:hAnsi="Palatino Linotype" w:cs="Arial"/>
        </w:rPr>
        <w:t xml:space="preserve"> A partir de tales deberes generales, podemos afirmar que las autoridades de todos los niveles </w:t>
      </w:r>
      <w:r w:rsidRPr="0094352B">
        <w:rPr>
          <w:rFonts w:ascii="Palatino Linotype" w:hAnsi="Palatino Linotype" w:cs="Arial"/>
        </w:rPr>
        <w:lastRenderedPageBreak/>
        <w:t xml:space="preserve">de gobierno también tienen la obligación positiva de </w:t>
      </w:r>
      <w:r w:rsidRPr="0094352B">
        <w:rPr>
          <w:rFonts w:ascii="Palatino Linotype" w:hAnsi="Palatino Linotype" w:cs="Arial"/>
          <w:b/>
        </w:rPr>
        <w:t>tomar todas las medidas que sean pertinentes para tutelar y hacer eficaz un derecho</w:t>
      </w:r>
      <w:r w:rsidRPr="0094352B">
        <w:rPr>
          <w:rFonts w:ascii="Palatino Linotype" w:hAnsi="Palatino Linotype" w:cs="Arial"/>
        </w:rPr>
        <w:t>”.</w:t>
      </w:r>
      <w:r w:rsidRPr="00924DF4">
        <w:rPr>
          <w:rStyle w:val="Refdenotaalpie"/>
          <w:rFonts w:ascii="Palatino Linotype" w:hAnsi="Palatino Linotype" w:cs="Arial"/>
        </w:rPr>
        <w:footnoteReference w:id="1"/>
      </w:r>
    </w:p>
    <w:p w:rsidR="00CC0EC5" w:rsidRDefault="00CC0EC5" w:rsidP="00F511B5">
      <w:pPr>
        <w:pStyle w:val="Prrafodelista"/>
        <w:spacing w:line="360" w:lineRule="auto"/>
        <w:ind w:left="0"/>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CC0EC5" w:rsidRDefault="00CC0EC5" w:rsidP="00F511B5">
      <w:pPr>
        <w:pStyle w:val="Prrafodelista"/>
        <w:spacing w:line="360" w:lineRule="auto"/>
        <w:ind w:left="360"/>
        <w:jc w:val="both"/>
        <w:rPr>
          <w:rFonts w:ascii="Palatino Linotype" w:hAnsi="Palatino Linotype" w:cs="Arial"/>
        </w:rPr>
      </w:pPr>
    </w:p>
    <w:p w:rsidR="00CC0EC5" w:rsidRPr="0094352B" w:rsidRDefault="00CC0EC5" w:rsidP="00F511B5">
      <w:pPr>
        <w:pStyle w:val="Prrafodelista"/>
        <w:spacing w:line="360" w:lineRule="auto"/>
        <w:ind w:left="851" w:right="616"/>
        <w:jc w:val="both"/>
        <w:rPr>
          <w:rFonts w:ascii="Palatino Linotype" w:hAnsi="Palatino Linotype" w:cs="Arial"/>
        </w:rPr>
      </w:pPr>
      <w:r>
        <w:rPr>
          <w:rFonts w:ascii="Palatino Linotype" w:hAnsi="Palatino Linotype" w:cs="Arial"/>
        </w:rPr>
        <w:t>“</w:t>
      </w:r>
      <w:r w:rsidRPr="0094352B">
        <w:rPr>
          <w:rFonts w:ascii="Palatino Linotype" w:hAnsi="Palatino Linotype" w:cs="Arial"/>
        </w:rPr>
        <w:t>Artículo 185. El instituto resolverá el recurso de revisión conforme a lo siguiente:</w:t>
      </w:r>
    </w:p>
    <w:p w:rsidR="00CC0EC5" w:rsidRPr="0094352B" w:rsidRDefault="00CC0EC5" w:rsidP="00F511B5">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 </w:t>
      </w:r>
    </w:p>
    <w:p w:rsidR="00CC0EC5" w:rsidRPr="0094352B" w:rsidRDefault="00CC0EC5" w:rsidP="00F511B5">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V. La o el Comisionado ponente podrá determinar la celebración de audiencias con las partes durante la sustanciación del proceso. </w:t>
      </w:r>
    </w:p>
    <w:p w:rsidR="00CC0EC5" w:rsidRPr="0094352B" w:rsidRDefault="00CC0EC5" w:rsidP="00F511B5">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 </w:t>
      </w:r>
      <w:r>
        <w:rPr>
          <w:rFonts w:ascii="Palatino Linotype" w:hAnsi="Palatino Linotype" w:cs="Arial"/>
        </w:rPr>
        <w:t>“</w:t>
      </w:r>
    </w:p>
    <w:p w:rsidR="00CC0EC5" w:rsidRPr="0094352B" w:rsidRDefault="00CC0EC5" w:rsidP="00F511B5">
      <w:pPr>
        <w:spacing w:line="360" w:lineRule="auto"/>
        <w:jc w:val="both"/>
        <w:rPr>
          <w:rFonts w:ascii="Palatino Linotype" w:hAnsi="Palatino Linotype" w:cs="Arial"/>
        </w:rPr>
      </w:pPr>
    </w:p>
    <w:p w:rsidR="00CC0EC5" w:rsidRPr="00A97A66"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 xml:space="preserve">En relación con lo anterior, considero que la ponencia </w:t>
      </w:r>
      <w:proofErr w:type="spellStart"/>
      <w:r>
        <w:rPr>
          <w:rFonts w:ascii="Palatino Linotype" w:hAnsi="Palatino Linotype" w:cs="Arial"/>
        </w:rPr>
        <w:t>resolutora</w:t>
      </w:r>
      <w:proofErr w:type="spellEnd"/>
      <w:r>
        <w:rPr>
          <w:rFonts w:ascii="Palatino Linotype" w:hAnsi="Palatino Linotype" w:cs="Arial"/>
        </w:rPr>
        <w:t xml:space="preserve"> debió de pronunciarse sobre la naturaleza de lo requerido sin ningún tipo de ambigüedad, es decir, tuvo que determinar si la información tenía el carácter de reserva o no, sin dejarlo al arbitrio del sujeto obligado, efectuando dicho análisis atendiendo a </w:t>
      </w:r>
      <w:r>
        <w:rPr>
          <w:rFonts w:ascii="Palatino Linotype" w:hAnsi="Palatino Linotype" w:cs="Arial"/>
        </w:rPr>
        <w:lastRenderedPageBreak/>
        <w:t xml:space="preserve">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w:t>
      </w:r>
      <w:r w:rsidRPr="00A97A66">
        <w:rPr>
          <w:rFonts w:ascii="Palatino Linotype" w:hAnsi="Palatino Linotype" w:cs="Arial"/>
        </w:rPr>
        <w:t xml:space="preserve">con el propósito de dar mayor certeza a la resolución dictada o por el contrario conocer fehacientemente si la información en posesión del sujeto obligado es susceptible de reservarse. </w:t>
      </w:r>
    </w:p>
    <w:p w:rsidR="00CC0EC5" w:rsidRDefault="00CC0EC5" w:rsidP="00F511B5">
      <w:pPr>
        <w:pStyle w:val="Prrafodelista"/>
        <w:spacing w:line="360" w:lineRule="auto"/>
        <w:ind w:left="360"/>
        <w:jc w:val="both"/>
        <w:rPr>
          <w:rFonts w:ascii="Palatino Linotype" w:hAnsi="Palatino Linotype" w:cs="Arial"/>
        </w:rPr>
      </w:pPr>
    </w:p>
    <w:p w:rsid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 xml:space="preserve">Una vez expuesto lo anterior, concluyo mi voto </w:t>
      </w:r>
      <w:r w:rsidR="0044164A">
        <w:rPr>
          <w:rFonts w:ascii="Palatino Linotype" w:hAnsi="Palatino Linotype" w:cs="Arial"/>
        </w:rPr>
        <w:t>disidente</w:t>
      </w:r>
      <w:r>
        <w:rPr>
          <w:rFonts w:ascii="Palatino Linotype" w:hAnsi="Palatino Linotype" w:cs="Arial"/>
        </w:rPr>
        <w:t xml:space="preserve"> en la resolución materia del mismo. </w:t>
      </w:r>
    </w:p>
    <w:p w:rsidR="00CC0EC5" w:rsidRDefault="00CC0EC5" w:rsidP="00F511B5">
      <w:pPr>
        <w:pStyle w:val="Prrafodelista"/>
        <w:spacing w:line="360" w:lineRule="auto"/>
        <w:rPr>
          <w:rFonts w:ascii="Palatino Linotype" w:hAnsi="Palatino Linotype" w:cs="Arial"/>
        </w:rPr>
      </w:pPr>
    </w:p>
    <w:p w:rsidR="0044164A" w:rsidRDefault="0044164A" w:rsidP="00F511B5">
      <w:pPr>
        <w:pStyle w:val="Prrafodelista"/>
        <w:spacing w:line="360" w:lineRule="auto"/>
        <w:rPr>
          <w:rFonts w:ascii="Palatino Linotype" w:hAnsi="Palatino Linotype" w:cs="Arial"/>
        </w:rPr>
      </w:pPr>
    </w:p>
    <w:p w:rsidR="0044164A" w:rsidRPr="00A97A66" w:rsidRDefault="0044164A" w:rsidP="00F511B5">
      <w:pPr>
        <w:pStyle w:val="Prrafodelista"/>
        <w:spacing w:line="360" w:lineRule="auto"/>
        <w:rPr>
          <w:rFonts w:ascii="Palatino Linotype" w:hAnsi="Palatino Linotype" w:cs="Arial"/>
        </w:rPr>
      </w:pPr>
    </w:p>
    <w:p w:rsidR="00CC0EC5" w:rsidRPr="00A97A66" w:rsidRDefault="00CC0EC5" w:rsidP="00F511B5">
      <w:pPr>
        <w:spacing w:line="360" w:lineRule="auto"/>
        <w:jc w:val="both"/>
        <w:rPr>
          <w:rFonts w:ascii="Palatino Linotype" w:hAnsi="Palatino Linotype" w:cs="Arial"/>
        </w:rPr>
      </w:pPr>
    </w:p>
    <w:p w:rsidR="00CC0EC5" w:rsidRDefault="00CC0EC5" w:rsidP="00F511B5">
      <w:pPr>
        <w:pStyle w:val="Sinespaciado"/>
        <w:spacing w:line="360" w:lineRule="auto"/>
        <w:jc w:val="center"/>
        <w:rPr>
          <w:rFonts w:ascii="Palatino Linotype" w:hAnsi="Palatino Linotype"/>
          <w:b/>
          <w:szCs w:val="24"/>
        </w:rPr>
      </w:pPr>
      <w:r w:rsidRPr="0094352B">
        <w:rPr>
          <w:rFonts w:ascii="Palatino Linotype" w:hAnsi="Palatino Linotype"/>
          <w:b/>
          <w:szCs w:val="24"/>
        </w:rPr>
        <w:t>JOSÉ GUADALUPE LUNA HERNÁNDEZ</w:t>
      </w:r>
    </w:p>
    <w:p w:rsidR="00F511B5" w:rsidRPr="0094352B" w:rsidRDefault="00F511B5" w:rsidP="00F511B5">
      <w:pPr>
        <w:pStyle w:val="Sinespaciado"/>
        <w:spacing w:line="360" w:lineRule="auto"/>
        <w:jc w:val="center"/>
        <w:rPr>
          <w:rFonts w:ascii="Palatino Linotype" w:hAnsi="Palatino Linotype"/>
          <w:b/>
          <w:szCs w:val="24"/>
        </w:rPr>
      </w:pPr>
    </w:p>
    <w:p w:rsidR="00CC0EC5" w:rsidRDefault="00CC0EC5" w:rsidP="00F511B5">
      <w:pPr>
        <w:spacing w:line="360" w:lineRule="auto"/>
        <w:jc w:val="center"/>
        <w:rPr>
          <w:rFonts w:ascii="Palatino Linotype" w:hAnsi="Palatino Linotype"/>
          <w:b/>
        </w:rPr>
      </w:pPr>
      <w:r w:rsidRPr="0094352B">
        <w:rPr>
          <w:rFonts w:ascii="Palatino Linotype" w:hAnsi="Palatino Linotype"/>
          <w:b/>
        </w:rPr>
        <w:t>COMISIONADO</w:t>
      </w:r>
    </w:p>
    <w:p w:rsidR="00CC0EC5" w:rsidRPr="0044164A" w:rsidRDefault="00CC0EC5" w:rsidP="00F511B5">
      <w:pPr>
        <w:spacing w:line="360" w:lineRule="auto"/>
        <w:jc w:val="right"/>
        <w:rPr>
          <w:rFonts w:ascii="Palatino Linotype" w:hAnsi="Palatino Linotype"/>
          <w:b/>
        </w:rPr>
      </w:pPr>
      <w:r>
        <w:rPr>
          <w:rFonts w:ascii="Palatino Linotype" w:hAnsi="Palatino Linotype"/>
          <w:b/>
        </w:rPr>
        <w:t>JGLH/JTC</w:t>
      </w:r>
    </w:p>
    <w:p w:rsidR="00F511B5" w:rsidRPr="004F719D" w:rsidRDefault="00F511B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Palatino Linotype" w:hAnsi="Palatino Linotype" w:cs="Arial"/>
          <w:b/>
        </w:rPr>
      </w:pPr>
    </w:p>
    <w:sectPr w:rsidR="00F511B5" w:rsidRPr="004F719D"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481" w:rsidRDefault="003C0481" w:rsidP="00ED7332">
      <w:r>
        <w:separator/>
      </w:r>
    </w:p>
  </w:endnote>
  <w:endnote w:type="continuationSeparator" w:id="0">
    <w:p w:rsidR="003C0481" w:rsidRDefault="003C0481"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E41B9">
              <w:rPr>
                <w:rFonts w:ascii="Palatino Linotype" w:hAnsi="Palatino Linotype"/>
                <w:b/>
                <w:bCs/>
                <w:noProof/>
                <w:sz w:val="20"/>
                <w:szCs w:val="20"/>
              </w:rPr>
              <w:t>14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E41B9">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3C04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481" w:rsidRDefault="003C0481" w:rsidP="00ED7332">
      <w:r>
        <w:separator/>
      </w:r>
    </w:p>
  </w:footnote>
  <w:footnote w:type="continuationSeparator" w:id="0">
    <w:p w:rsidR="003C0481" w:rsidRDefault="003C0481" w:rsidP="00ED7332">
      <w:r>
        <w:continuationSeparator/>
      </w:r>
    </w:p>
  </w:footnote>
  <w:footnote w:id="1">
    <w:p w:rsidR="00CC0EC5" w:rsidRDefault="00CC0EC5" w:rsidP="00CC0EC5">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C048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C048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3C0481">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641F14"/>
    <w:multiLevelType w:val="hybridMultilevel"/>
    <w:tmpl w:val="03285C4C"/>
    <w:lvl w:ilvl="0" w:tplc="39001DD0">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8">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39"/>
  </w:num>
  <w:num w:numId="4">
    <w:abstractNumId w:val="6"/>
  </w:num>
  <w:num w:numId="5">
    <w:abstractNumId w:val="14"/>
  </w:num>
  <w:num w:numId="6">
    <w:abstractNumId w:val="3"/>
  </w:num>
  <w:num w:numId="7">
    <w:abstractNumId w:val="24"/>
  </w:num>
  <w:num w:numId="8">
    <w:abstractNumId w:val="42"/>
  </w:num>
  <w:num w:numId="9">
    <w:abstractNumId w:val="18"/>
  </w:num>
  <w:num w:numId="10">
    <w:abstractNumId w:val="2"/>
  </w:num>
  <w:num w:numId="11">
    <w:abstractNumId w:val="0"/>
  </w:num>
  <w:num w:numId="12">
    <w:abstractNumId w:val="23"/>
  </w:num>
  <w:num w:numId="13">
    <w:abstractNumId w:val="5"/>
  </w:num>
  <w:num w:numId="14">
    <w:abstractNumId w:val="37"/>
  </w:num>
  <w:num w:numId="15">
    <w:abstractNumId w:val="36"/>
  </w:num>
  <w:num w:numId="16">
    <w:abstractNumId w:val="20"/>
  </w:num>
  <w:num w:numId="17">
    <w:abstractNumId w:val="10"/>
  </w:num>
  <w:num w:numId="18">
    <w:abstractNumId w:val="7"/>
  </w:num>
  <w:num w:numId="19">
    <w:abstractNumId w:val="38"/>
  </w:num>
  <w:num w:numId="20">
    <w:abstractNumId w:val="17"/>
  </w:num>
  <w:num w:numId="21">
    <w:abstractNumId w:val="40"/>
  </w:num>
  <w:num w:numId="22">
    <w:abstractNumId w:val="12"/>
  </w:num>
  <w:num w:numId="23">
    <w:abstractNumId w:val="15"/>
  </w:num>
  <w:num w:numId="24">
    <w:abstractNumId w:val="28"/>
  </w:num>
  <w:num w:numId="25">
    <w:abstractNumId w:val="19"/>
  </w:num>
  <w:num w:numId="26">
    <w:abstractNumId w:val="4"/>
  </w:num>
  <w:num w:numId="27">
    <w:abstractNumId w:val="9"/>
  </w:num>
  <w:num w:numId="28">
    <w:abstractNumId w:val="27"/>
  </w:num>
  <w:num w:numId="29">
    <w:abstractNumId w:val="11"/>
  </w:num>
  <w:num w:numId="30">
    <w:abstractNumId w:val="33"/>
  </w:num>
  <w:num w:numId="31">
    <w:abstractNumId w:val="26"/>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9"/>
  </w:num>
  <w:num w:numId="37">
    <w:abstractNumId w:val="21"/>
  </w:num>
  <w:num w:numId="38">
    <w:abstractNumId w:val="30"/>
  </w:num>
  <w:num w:numId="39">
    <w:abstractNumId w:val="22"/>
  </w:num>
  <w:num w:numId="40">
    <w:abstractNumId w:val="32"/>
  </w:num>
  <w:num w:numId="41">
    <w:abstractNumId w:val="41"/>
  </w:num>
  <w:num w:numId="42">
    <w:abstractNumId w:val="21"/>
    <w:lvlOverride w:ilvl="0">
      <w:startOverride w:val="4"/>
    </w:lvlOverride>
  </w:num>
  <w:num w:numId="43">
    <w:abstractNumId w:val="1"/>
  </w:num>
  <w:num w:numId="44">
    <w:abstractNumId w:val="31"/>
  </w:num>
  <w:num w:numId="45">
    <w:abstractNumId w:val="16"/>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74B24"/>
    <w:rsid w:val="00075028"/>
    <w:rsid w:val="0009296B"/>
    <w:rsid w:val="000963B3"/>
    <w:rsid w:val="00097AD7"/>
    <w:rsid w:val="000B0E25"/>
    <w:rsid w:val="000D714D"/>
    <w:rsid w:val="000E7EE8"/>
    <w:rsid w:val="000F1159"/>
    <w:rsid w:val="000F2AC8"/>
    <w:rsid w:val="00103510"/>
    <w:rsid w:val="00115126"/>
    <w:rsid w:val="0015416E"/>
    <w:rsid w:val="0016141F"/>
    <w:rsid w:val="00161D60"/>
    <w:rsid w:val="00170FB4"/>
    <w:rsid w:val="00173575"/>
    <w:rsid w:val="00187C5A"/>
    <w:rsid w:val="001A2F06"/>
    <w:rsid w:val="001C6C91"/>
    <w:rsid w:val="001E2E42"/>
    <w:rsid w:val="001E2F7E"/>
    <w:rsid w:val="001F0577"/>
    <w:rsid w:val="00203272"/>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331EE"/>
    <w:rsid w:val="00343467"/>
    <w:rsid w:val="003503B0"/>
    <w:rsid w:val="00364D1A"/>
    <w:rsid w:val="00364E7F"/>
    <w:rsid w:val="003672A4"/>
    <w:rsid w:val="003765B0"/>
    <w:rsid w:val="0038405F"/>
    <w:rsid w:val="003A43CE"/>
    <w:rsid w:val="003A68B3"/>
    <w:rsid w:val="003C0481"/>
    <w:rsid w:val="003C68B6"/>
    <w:rsid w:val="003D1215"/>
    <w:rsid w:val="003D513F"/>
    <w:rsid w:val="003F71B7"/>
    <w:rsid w:val="00421FE8"/>
    <w:rsid w:val="004252DB"/>
    <w:rsid w:val="00430106"/>
    <w:rsid w:val="0044164A"/>
    <w:rsid w:val="0044710A"/>
    <w:rsid w:val="00482790"/>
    <w:rsid w:val="004915D5"/>
    <w:rsid w:val="004A6948"/>
    <w:rsid w:val="004A75D5"/>
    <w:rsid w:val="004C4360"/>
    <w:rsid w:val="004D1629"/>
    <w:rsid w:val="004F719D"/>
    <w:rsid w:val="0050137A"/>
    <w:rsid w:val="00503141"/>
    <w:rsid w:val="0052203D"/>
    <w:rsid w:val="00557948"/>
    <w:rsid w:val="00577A92"/>
    <w:rsid w:val="00586E51"/>
    <w:rsid w:val="005A09A1"/>
    <w:rsid w:val="005A55B8"/>
    <w:rsid w:val="005E6E1A"/>
    <w:rsid w:val="00614828"/>
    <w:rsid w:val="00630699"/>
    <w:rsid w:val="00633DCF"/>
    <w:rsid w:val="00635965"/>
    <w:rsid w:val="0063753D"/>
    <w:rsid w:val="006409B3"/>
    <w:rsid w:val="00642F7C"/>
    <w:rsid w:val="00644DC3"/>
    <w:rsid w:val="006500A4"/>
    <w:rsid w:val="00651B65"/>
    <w:rsid w:val="00696E58"/>
    <w:rsid w:val="006E2911"/>
    <w:rsid w:val="006E41B9"/>
    <w:rsid w:val="00711276"/>
    <w:rsid w:val="007226CE"/>
    <w:rsid w:val="007455F7"/>
    <w:rsid w:val="007631ED"/>
    <w:rsid w:val="00763471"/>
    <w:rsid w:val="00774A7F"/>
    <w:rsid w:val="0077794D"/>
    <w:rsid w:val="007A4E77"/>
    <w:rsid w:val="007A6A25"/>
    <w:rsid w:val="007A76AC"/>
    <w:rsid w:val="007B194A"/>
    <w:rsid w:val="007B1C16"/>
    <w:rsid w:val="007B70C2"/>
    <w:rsid w:val="007C25E8"/>
    <w:rsid w:val="007F5BB2"/>
    <w:rsid w:val="0081168F"/>
    <w:rsid w:val="00835B3B"/>
    <w:rsid w:val="008517AF"/>
    <w:rsid w:val="00864D58"/>
    <w:rsid w:val="00876E43"/>
    <w:rsid w:val="00880EB4"/>
    <w:rsid w:val="00894FAC"/>
    <w:rsid w:val="008A78F1"/>
    <w:rsid w:val="008B29B7"/>
    <w:rsid w:val="008B2AC8"/>
    <w:rsid w:val="008B50DE"/>
    <w:rsid w:val="008B70FB"/>
    <w:rsid w:val="008B7317"/>
    <w:rsid w:val="008B7D1A"/>
    <w:rsid w:val="008C3561"/>
    <w:rsid w:val="008F1F4E"/>
    <w:rsid w:val="008F3587"/>
    <w:rsid w:val="0090198C"/>
    <w:rsid w:val="00902B4A"/>
    <w:rsid w:val="009332A7"/>
    <w:rsid w:val="00940BE8"/>
    <w:rsid w:val="00941946"/>
    <w:rsid w:val="00952EB7"/>
    <w:rsid w:val="00962AB3"/>
    <w:rsid w:val="0097464F"/>
    <w:rsid w:val="0099042C"/>
    <w:rsid w:val="009D5E66"/>
    <w:rsid w:val="009E3209"/>
    <w:rsid w:val="009E7D34"/>
    <w:rsid w:val="00A249AB"/>
    <w:rsid w:val="00A31B0C"/>
    <w:rsid w:val="00A3395D"/>
    <w:rsid w:val="00A36FB9"/>
    <w:rsid w:val="00A410B3"/>
    <w:rsid w:val="00A527F0"/>
    <w:rsid w:val="00A8678C"/>
    <w:rsid w:val="00A94904"/>
    <w:rsid w:val="00AE112C"/>
    <w:rsid w:val="00AE1FD6"/>
    <w:rsid w:val="00B06084"/>
    <w:rsid w:val="00B079D3"/>
    <w:rsid w:val="00B305DB"/>
    <w:rsid w:val="00B35501"/>
    <w:rsid w:val="00B61AF1"/>
    <w:rsid w:val="00B64221"/>
    <w:rsid w:val="00B82DF9"/>
    <w:rsid w:val="00B847C6"/>
    <w:rsid w:val="00BA7541"/>
    <w:rsid w:val="00BC23A5"/>
    <w:rsid w:val="00BD7E40"/>
    <w:rsid w:val="00BE1AF8"/>
    <w:rsid w:val="00BF742A"/>
    <w:rsid w:val="00C04ABD"/>
    <w:rsid w:val="00C36B1F"/>
    <w:rsid w:val="00C37D34"/>
    <w:rsid w:val="00C50FC5"/>
    <w:rsid w:val="00C648C5"/>
    <w:rsid w:val="00C64CFF"/>
    <w:rsid w:val="00C7087D"/>
    <w:rsid w:val="00C74DDE"/>
    <w:rsid w:val="00C8234C"/>
    <w:rsid w:val="00C87E9E"/>
    <w:rsid w:val="00C96160"/>
    <w:rsid w:val="00CA5AFE"/>
    <w:rsid w:val="00CB13A7"/>
    <w:rsid w:val="00CB19F7"/>
    <w:rsid w:val="00CB3643"/>
    <w:rsid w:val="00CC0EC5"/>
    <w:rsid w:val="00CD3F2D"/>
    <w:rsid w:val="00CE058D"/>
    <w:rsid w:val="00CF16BC"/>
    <w:rsid w:val="00D075E8"/>
    <w:rsid w:val="00D0774E"/>
    <w:rsid w:val="00D212CB"/>
    <w:rsid w:val="00D349C5"/>
    <w:rsid w:val="00D37C48"/>
    <w:rsid w:val="00D420C4"/>
    <w:rsid w:val="00D570BC"/>
    <w:rsid w:val="00D74377"/>
    <w:rsid w:val="00D976D8"/>
    <w:rsid w:val="00DB5AF7"/>
    <w:rsid w:val="00DC3D1C"/>
    <w:rsid w:val="00DC613F"/>
    <w:rsid w:val="00DE28AC"/>
    <w:rsid w:val="00DE7C9B"/>
    <w:rsid w:val="00DE7DF6"/>
    <w:rsid w:val="00E043DE"/>
    <w:rsid w:val="00E06C70"/>
    <w:rsid w:val="00E07945"/>
    <w:rsid w:val="00E12C1D"/>
    <w:rsid w:val="00E25072"/>
    <w:rsid w:val="00E4540E"/>
    <w:rsid w:val="00E60C19"/>
    <w:rsid w:val="00E67744"/>
    <w:rsid w:val="00E80889"/>
    <w:rsid w:val="00EA4216"/>
    <w:rsid w:val="00EA734D"/>
    <w:rsid w:val="00EB46CE"/>
    <w:rsid w:val="00EB6A73"/>
    <w:rsid w:val="00EC781B"/>
    <w:rsid w:val="00ED2F56"/>
    <w:rsid w:val="00ED5776"/>
    <w:rsid w:val="00ED7332"/>
    <w:rsid w:val="00EE3F52"/>
    <w:rsid w:val="00EF4D4D"/>
    <w:rsid w:val="00EF7BFC"/>
    <w:rsid w:val="00F15D14"/>
    <w:rsid w:val="00F3413E"/>
    <w:rsid w:val="00F436A4"/>
    <w:rsid w:val="00F511B5"/>
    <w:rsid w:val="00F56E5B"/>
    <w:rsid w:val="00F63F46"/>
    <w:rsid w:val="00F71FF7"/>
    <w:rsid w:val="00F73EA1"/>
    <w:rsid w:val="00F742C0"/>
    <w:rsid w:val="00F75AE7"/>
    <w:rsid w:val="00F77503"/>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44164A"/>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44164A"/>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AA03-308A-4C19-A714-E8DF5462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2635</Words>
  <Characters>14498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2017-10-31T17:55:00Z</cp:lastPrinted>
  <dcterms:created xsi:type="dcterms:W3CDTF">2018-10-16T00:41:00Z</dcterms:created>
  <dcterms:modified xsi:type="dcterms:W3CDTF">2019-02-07T15:55:00Z</dcterms:modified>
</cp:coreProperties>
</file>